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833755</wp:posOffset>
                </wp:positionV>
                <wp:extent cx="719455"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65.65pt;height:0pt;width:56.65pt;z-index:251659264;mso-width-relative:page;mso-height-relative:page;" filled="f" stroked="t" coordsize="21600,21600" o:gfxdata="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DXLAvW&#10;AAAACgEAAA8AAAAAAAAAAQAgAAAAIgAAAGRycy9kb3ducmV2LnhtbFBLAQIUABQAAAAIAIdO4kDU&#10;QJh5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天津市大数据管理中心-天津市政府网站运维及安全保障服务</w:t>
      </w:r>
      <w:r>
        <w:rPr>
          <w:rFonts w:eastAsia="黑体"/>
          <w:b/>
          <w:spacing w:val="40"/>
          <w:w w:val="66"/>
          <w:sz w:val="60"/>
          <w:szCs w:val="60"/>
        </w:rPr>
        <w:t>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（项目编号：TGPC-2022-D-0691）</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hint="eastAsia" w:eastAsia="仿宋_GB2312"/>
          <w:b/>
          <w:bCs/>
          <w:kern w:val="0"/>
          <w:sz w:val="44"/>
          <w:szCs w:val="44"/>
        </w:rPr>
        <w:t>22.10</w:t>
      </w:r>
      <w:r>
        <w:rPr>
          <w:rFonts w:eastAsia="仿宋_GB2312"/>
          <w:b/>
          <w:bCs/>
          <w:kern w:val="0"/>
          <w:sz w:val="44"/>
          <w:szCs w:val="44"/>
        </w:rPr>
        <w:t xml:space="preserve"> </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8"/>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天津市大数据管理中心</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天津市大数据管理中心-天津市政府网站运维及安全保障服务项目</w:t>
      </w:r>
      <w:r>
        <w:rPr>
          <w:rFonts w:ascii="Times New Roman" w:hAnsi="Times New Roman" w:cs="Times New Roman" w:eastAsiaTheme="minorEastAsia"/>
          <w:color w:val="auto"/>
          <w:szCs w:val="32"/>
        </w:rPr>
        <w:t>实施政府采购。现欢迎合格的供应商参加投标。</w:t>
      </w:r>
    </w:p>
    <w:p>
      <w:pPr>
        <w:pStyle w:val="28"/>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电子签章客户端软件winaip正确读取签章信息为准）。供应商参加投标前须办理CA数字证书（USBKEY）和电子签章。投标人须按招标文件的规定在天津市政府采购中心招投标系统中提交网上应答并上传加盖投标人电子签章的PDF格式电子投标文件（以通过电子签章客户端软件winaip正确读取签章信息为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天津市大数据管理中心-天津市政府网站运维及安全保障服务项目</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（二）项目编号：TGPC-2022-D-0691</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rPr>
        <w:t>天津市政府网站运维及安全保障服务1项，合同履行期限 1年，起止日期以合同为准；</w:t>
      </w:r>
    </w:p>
    <w:p>
      <w:pPr>
        <w:tabs>
          <w:tab w:val="left" w:pos="210"/>
        </w:tabs>
        <w:autoSpaceDE w:val="0"/>
        <w:autoSpaceDN w:val="0"/>
        <w:adjustRightInd w:val="0"/>
        <w:spacing w:line="360" w:lineRule="auto"/>
        <w:ind w:firstLine="480" w:firstLineChars="200"/>
        <w:outlineLvl w:val="0"/>
        <w:rPr>
          <w:strike/>
          <w:sz w:val="24"/>
          <w:szCs w:val="24"/>
        </w:rPr>
      </w:pPr>
      <w:r>
        <w:rPr>
          <w:sz w:val="24"/>
          <w:szCs w:val="24"/>
          <w:lang w:val="zh-CN"/>
        </w:rPr>
        <w:t>本项目不接受进口产品投标。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第一包：770000</w:t>
      </w:r>
      <w:r>
        <w:rPr>
          <w:rFonts w:hint="eastAsia" w:ascii="Times New Roman" w:hAnsi="Times New Roman" w:eastAsia="宋体" w:cs="Times New Roman"/>
          <w:color w:val="auto"/>
        </w:rPr>
        <w:t>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pPr>
        <w:pStyle w:val="28"/>
        <w:spacing w:line="360" w:lineRule="auto"/>
        <w:ind w:firstLine="480" w:firstLineChars="200"/>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（一）投标人须具备《中华人民共和国政府采购法》第二十二条第一款规定的条件，提供以下材料：</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营业执照副本扫描件。</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A.经第三方会计师事务所审计的2021年度财务报告扫描件。</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（二）本项目不接受联合体投标。</w:t>
      </w:r>
    </w:p>
    <w:bookmarkEnd w:id="1"/>
    <w:bookmarkEnd w:id="2"/>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（三）本项目专门面向中小企业采购，提供《中小企业声明函》。</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pPr>
        <w:pStyle w:val="28"/>
        <w:spacing w:line="360" w:lineRule="auto"/>
        <w:ind w:firstLine="480" w:firstLineChars="200"/>
        <w:rPr>
          <w:rFonts w:ascii="Times New Roman" w:hAnsi="Times New Roman" w:eastAsia="宋体" w:cs="Times New Roman"/>
          <w:color w:val="auto"/>
        </w:rPr>
      </w:pPr>
      <w:bookmarkStart w:id="3" w:name="OLE_LINK4"/>
      <w:bookmarkStart w:id="4" w:name="OLE_LINK3"/>
      <w:r>
        <w:rPr>
          <w:rFonts w:ascii="Times New Roman" w:hAnsi="Times New Roman" w:eastAsia="宋体" w:cs="Times New Roman"/>
          <w:color w:val="auto"/>
        </w:rPr>
        <w:t>（一）</w:t>
      </w:r>
      <w:r>
        <w:rPr>
          <w:rFonts w:hint="eastAsia" w:ascii="Times New Roman" w:hAnsi="Times New Roman" w:eastAsia="宋体" w:cs="Times New Roman"/>
          <w:color w:val="auto"/>
        </w:rPr>
        <w:t>根据《政府采购促进中小企业发展管理办法》（财库[2020]46号）规定，本项目专门面向中小企业采购。</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8"/>
        <w:spacing w:line="360" w:lineRule="auto"/>
        <w:ind w:firstLine="480"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10</w:t>
      </w:r>
      <w:r>
        <w:rPr>
          <w:rFonts w:ascii="Times New Roman" w:hAnsi="Times New Roman" w:eastAsia="宋体" w:cs="Times New Roman"/>
          <w:color w:val="auto"/>
        </w:rPr>
        <w:t>月</w:t>
      </w:r>
      <w:r>
        <w:rPr>
          <w:rFonts w:hint="eastAsia" w:ascii="Times New Roman" w:hAnsi="Times New Roman" w:eastAsia="宋体" w:cs="Times New Roman"/>
          <w:color w:val="auto"/>
        </w:rPr>
        <w:t>20</w:t>
      </w:r>
      <w:r>
        <w:rPr>
          <w:rFonts w:ascii="Times New Roman" w:hAnsi="Times New Roman" w:eastAsia="宋体" w:cs="Times New Roman"/>
          <w:color w:val="auto"/>
        </w:rPr>
        <w:t>日至202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10</w:t>
      </w:r>
      <w:r>
        <w:rPr>
          <w:rFonts w:ascii="Times New Roman" w:hAnsi="Times New Roman" w:eastAsia="宋体" w:cs="Times New Roman"/>
          <w:color w:val="auto"/>
        </w:rPr>
        <w:t>月</w:t>
      </w:r>
      <w:r>
        <w:rPr>
          <w:rFonts w:hint="eastAsia" w:ascii="Times New Roman" w:hAnsi="Times New Roman" w:eastAsia="宋体" w:cs="Times New Roman"/>
          <w:color w:val="auto"/>
        </w:rPr>
        <w:t>27</w:t>
      </w:r>
      <w:r>
        <w:rPr>
          <w:rFonts w:ascii="Times New Roman" w:hAnsi="Times New Roman" w:eastAsia="宋体" w:cs="Times New Roman"/>
          <w:color w:val="auto"/>
        </w:rPr>
        <w:t>日，每日9:00至17:00（北京时间，法定节假日除外）。</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获取招标文件网址：使用天津市中环认证服务有限公司发出的CA数字证书（原天津市电子认证中心发出尚在有效期内的CA数字证书仍可使用）登录天津市政府采购中心网（网址：</w:t>
      </w:r>
      <w:r>
        <w:fldChar w:fldCharType="begin"/>
      </w:r>
      <w:r>
        <w:rPr>
          <w:color w:val="auto"/>
        </w:rPr>
        <w:instrText xml:space="preserve"> HYPERLINK "http://www.tjgpc.gov.cn" </w:instrText>
      </w:r>
      <w:r>
        <w:fldChar w:fldCharType="separate"/>
      </w:r>
      <w:r>
        <w:rPr>
          <w:rStyle w:val="25"/>
          <w:rFonts w:hint="eastAsia"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hint="eastAsia" w:ascii="Times New Roman" w:hAnsi="Times New Roman" w:eastAsia="宋体" w:cs="Times New Roman"/>
          <w:color w:val="auto"/>
        </w:rPr>
        <w:t>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24538316</w:t>
      </w:r>
      <w:r>
        <w:rPr>
          <w:rFonts w:hint="eastAsia" w:ascii="Times New Roman" w:hAnsi="Times New Roman" w:eastAsia="宋体"/>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022-24538316</w:t>
      </w:r>
      <w:r>
        <w:rPr>
          <w:rFonts w:hint="eastAsia" w:ascii="Times New Roman" w:hAnsi="Times New Roman" w:eastAsia="宋体" w:cs="Times New Roman"/>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（三）下载招标文件后如放弃投标，请于网上应答截止时间之前取消投标。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r>
        <w:rPr>
          <w:rFonts w:hint="eastAsia" w:ascii="Times New Roman" w:hAnsi="Times New Roman" w:eastAsia="宋体" w:cs="Times New Roman"/>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（五）本项目不组织标前答疑会。</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10</w:t>
      </w:r>
      <w:r>
        <w:rPr>
          <w:rFonts w:ascii="Times New Roman" w:hAnsi="Times New Roman" w:eastAsia="宋体" w:cs="Times New Roman"/>
          <w:color w:val="auto"/>
        </w:rPr>
        <w:t>月</w:t>
      </w:r>
      <w:r>
        <w:rPr>
          <w:rFonts w:hint="eastAsia" w:ascii="Times New Roman" w:hAnsi="Times New Roman" w:eastAsia="宋体" w:cs="Times New Roman"/>
          <w:color w:val="auto"/>
        </w:rPr>
        <w:t>20</w:t>
      </w:r>
      <w:r>
        <w:rPr>
          <w:rFonts w:ascii="Times New Roman" w:hAnsi="Times New Roman" w:eastAsia="宋体" w:cs="Times New Roman"/>
          <w:color w:val="auto"/>
        </w:rPr>
        <w:t>日9:00至202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11</w:t>
      </w:r>
      <w:r>
        <w:rPr>
          <w:rFonts w:ascii="Times New Roman" w:hAnsi="Times New Roman" w:eastAsia="宋体" w:cs="Times New Roman"/>
          <w:color w:val="auto"/>
        </w:rPr>
        <w:t>月</w:t>
      </w:r>
      <w:r>
        <w:rPr>
          <w:rFonts w:hint="eastAsia" w:ascii="Times New Roman" w:hAnsi="Times New Roman" w:eastAsia="宋体" w:cs="Times New Roman"/>
          <w:color w:val="auto"/>
        </w:rPr>
        <w:t>10</w:t>
      </w:r>
      <w:r>
        <w:rPr>
          <w:rFonts w:ascii="Times New Roman" w:hAnsi="Times New Roman" w:eastAsia="宋体" w:cs="Times New Roman"/>
          <w:color w:val="auto"/>
        </w:rPr>
        <w:t>日8:30，使用天津市中环认证服务有限公司发出的CA数字证书（原天津市电子认证中心发出尚在有效期内的CA数字证书仍可使用）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11</w:t>
      </w:r>
      <w:r>
        <w:rPr>
          <w:rFonts w:ascii="Times New Roman" w:hAnsi="Times New Roman" w:eastAsia="宋体" w:cs="Times New Roman"/>
          <w:color w:val="auto"/>
        </w:rPr>
        <w:t>月</w:t>
      </w:r>
      <w:r>
        <w:rPr>
          <w:rFonts w:hint="eastAsia" w:ascii="Times New Roman" w:hAnsi="Times New Roman" w:eastAsia="宋体" w:cs="Times New Roman"/>
          <w:color w:val="auto"/>
        </w:rPr>
        <w:t>10</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提交网上应答并上传加盖投标人电子签章的PDF格式电子投标文件（以通过电子签章客户端软件winaip正确读取签章信息为准）</w:t>
      </w:r>
      <w:r>
        <w:rPr>
          <w:rFonts w:ascii="Times New Roman" w:hAnsi="Times New Roman" w:eastAsia="宋体" w:cs="Times New Roman"/>
          <w:color w:val="auto"/>
        </w:rPr>
        <w:t>方为有效投标。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电子签章客户端软件winaip正确读取签章信息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11</w:t>
      </w:r>
      <w:r>
        <w:rPr>
          <w:rFonts w:ascii="Times New Roman" w:hAnsi="Times New Roman" w:eastAsia="宋体" w:cs="Times New Roman"/>
          <w:color w:val="auto"/>
        </w:rPr>
        <w:t>月</w:t>
      </w:r>
      <w:r>
        <w:rPr>
          <w:rFonts w:hint="eastAsia" w:ascii="Times New Roman" w:hAnsi="Times New Roman" w:eastAsia="宋体" w:cs="Times New Roman"/>
          <w:color w:val="auto"/>
        </w:rPr>
        <w:t>10</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11</w:t>
      </w:r>
      <w:r>
        <w:rPr>
          <w:rFonts w:ascii="Times New Roman" w:hAnsi="Times New Roman" w:eastAsia="宋体" w:cs="Times New Roman"/>
          <w:color w:val="auto"/>
        </w:rPr>
        <w:t>月</w:t>
      </w:r>
      <w:r>
        <w:rPr>
          <w:rFonts w:hint="eastAsia" w:ascii="Times New Roman" w:hAnsi="Times New Roman" w:eastAsia="宋体" w:cs="Times New Roman"/>
          <w:color w:val="auto"/>
        </w:rPr>
        <w:t>10</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rPr>
        <w:t>张艳、鲁志强、杨光</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供应商注册、电子签章办理咨询：022-24538316</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采购文件咨询：</w:t>
      </w:r>
      <w:r>
        <w:rPr>
          <w:rFonts w:ascii="Times New Roman" w:hAnsi="Times New Roman" w:eastAsia="宋体" w:cs="Times New Roman"/>
          <w:color w:val="auto"/>
        </w:rPr>
        <w:t>022-2453</w:t>
      </w:r>
      <w:r>
        <w:rPr>
          <w:rFonts w:hint="eastAsia" w:ascii="Times New Roman" w:hAnsi="Times New Roman" w:eastAsia="宋体" w:cs="Times New Roman"/>
          <w:color w:val="auto"/>
        </w:rPr>
        <w:t>8176</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 </w:t>
      </w:r>
      <w:r>
        <w:rPr>
          <w:rFonts w:hint="eastAsia" w:ascii="Times New Roman" w:hAnsi="Times New Roman" w:eastAsia="宋体" w:cs="Times New Roman"/>
          <w:color w:val="auto"/>
        </w:rPr>
        <w:t>网上应答操作咨询：</w:t>
      </w:r>
      <w:r>
        <w:rPr>
          <w:rFonts w:ascii="Times New Roman" w:hAnsi="Times New Roman" w:eastAsia="宋体" w:cs="Times New Roman"/>
          <w:color w:val="auto"/>
        </w:rPr>
        <w:t>022-24538176</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 </w:t>
      </w:r>
      <w:r>
        <w:rPr>
          <w:rFonts w:hint="eastAsia" w:ascii="Times New Roman" w:hAnsi="Times New Roman" w:eastAsia="宋体" w:cs="Times New Roman"/>
          <w:color w:val="auto"/>
        </w:rPr>
        <w:t>解密操作咨询：</w:t>
      </w:r>
      <w:r>
        <w:rPr>
          <w:rFonts w:ascii="Times New Roman" w:hAnsi="Times New Roman" w:eastAsia="宋体" w:cs="Times New Roman"/>
          <w:color w:val="auto"/>
        </w:rPr>
        <w:t>022-24538309</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天津市大数据管理中心</w:t>
      </w:r>
      <w:r>
        <w:rPr>
          <w:rFonts w:ascii="Times New Roman" w:hAnsi="Times New Roman" w:eastAsia="宋体" w:cs="Times New Roman"/>
          <w:color w:val="auto"/>
        </w:rPr>
        <w:t xml:space="preserve"> </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天津市河西区梅江道20号</w:t>
      </w:r>
      <w:r>
        <w:rPr>
          <w:rFonts w:ascii="Times New Roman" w:hAnsi="Times New Roman" w:eastAsia="宋体" w:cs="Times New Roman"/>
          <w:color w:val="auto"/>
        </w:rPr>
        <w:t xml:space="preserve"> </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岳立廷</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（四）采购人联系电话：022-60619256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联系部门：研发运维一中心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联系地址：天津市河西区梅江道20号</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人：岳立廷</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13820553073</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pPr>
              <w:tabs>
                <w:tab w:val="left" w:pos="750"/>
                <w:tab w:val="left" w:pos="840"/>
              </w:tabs>
              <w:adjustRightInd w:val="0"/>
              <w:snapToGrid w:val="0"/>
              <w:jc w:val="center"/>
              <w:rPr>
                <w:sz w:val="24"/>
              </w:rPr>
            </w:pPr>
            <w:r>
              <w:rPr>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100以下</w:t>
            </w:r>
          </w:p>
        </w:tc>
        <w:tc>
          <w:tcPr>
            <w:tcW w:w="3657" w:type="dxa"/>
            <w:vAlign w:val="center"/>
          </w:tcPr>
          <w:p>
            <w:pPr>
              <w:tabs>
                <w:tab w:val="left" w:pos="750"/>
                <w:tab w:val="left" w:pos="840"/>
              </w:tabs>
              <w:adjustRightInd w:val="0"/>
              <w:snapToGrid w:val="0"/>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100-500</w:t>
            </w:r>
          </w:p>
        </w:tc>
        <w:tc>
          <w:tcPr>
            <w:tcW w:w="3657" w:type="dxa"/>
            <w:vAlign w:val="center"/>
          </w:tcPr>
          <w:p>
            <w:pPr>
              <w:tabs>
                <w:tab w:val="left" w:pos="750"/>
                <w:tab w:val="left" w:pos="840"/>
              </w:tabs>
              <w:adjustRightInd w:val="0"/>
              <w:snapToGrid w:val="0"/>
              <w:jc w:val="center"/>
              <w:rPr>
                <w:sz w:val="24"/>
              </w:rPr>
            </w:pPr>
            <w:r>
              <w:rPr>
                <w:rFonts w:hint="eastAsia"/>
                <w:sz w:val="24"/>
              </w:rPr>
              <w:t>0.8</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500-1000</w:t>
            </w:r>
          </w:p>
        </w:tc>
        <w:tc>
          <w:tcPr>
            <w:tcW w:w="3657" w:type="dxa"/>
            <w:vAlign w:val="center"/>
          </w:tcPr>
          <w:p>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pPr>
              <w:tabs>
                <w:tab w:val="left" w:pos="750"/>
                <w:tab w:val="left" w:pos="840"/>
              </w:tabs>
              <w:adjustRightInd w:val="0"/>
              <w:snapToGrid w:val="0"/>
              <w:jc w:val="center"/>
              <w:rPr>
                <w:sz w:val="24"/>
              </w:rPr>
            </w:pPr>
            <w:r>
              <w:rPr>
                <w:rFonts w:hint="eastAsia"/>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5000-10000</w:t>
            </w:r>
          </w:p>
        </w:tc>
        <w:tc>
          <w:tcPr>
            <w:tcW w:w="3657" w:type="dxa"/>
            <w:vAlign w:val="center"/>
          </w:tcPr>
          <w:p>
            <w:pPr>
              <w:tabs>
                <w:tab w:val="left" w:pos="750"/>
                <w:tab w:val="left" w:pos="840"/>
              </w:tabs>
              <w:adjustRightInd w:val="0"/>
              <w:snapToGrid w:val="0"/>
              <w:jc w:val="center"/>
              <w:rPr>
                <w:sz w:val="24"/>
              </w:rPr>
            </w:pPr>
            <w:r>
              <w:rPr>
                <w:rFonts w:hint="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10000-100000</w:t>
            </w:r>
          </w:p>
        </w:tc>
        <w:tc>
          <w:tcPr>
            <w:tcW w:w="3657" w:type="dxa"/>
            <w:vAlign w:val="center"/>
          </w:tcPr>
          <w:p>
            <w:pPr>
              <w:tabs>
                <w:tab w:val="left" w:pos="750"/>
                <w:tab w:val="left" w:pos="840"/>
              </w:tabs>
              <w:adjustRightInd w:val="0"/>
              <w:snapToGrid w:val="0"/>
              <w:jc w:val="center"/>
              <w:rPr>
                <w:sz w:val="24"/>
              </w:rPr>
            </w:pPr>
            <w:r>
              <w:rPr>
                <w:rFonts w:hint="eastAsia"/>
                <w:sz w:val="24"/>
              </w:rPr>
              <w:t>0.05%</w:t>
            </w:r>
          </w:p>
        </w:tc>
      </w:tr>
    </w:tbl>
    <w:p>
      <w:pPr>
        <w:tabs>
          <w:tab w:val="left" w:pos="700"/>
        </w:tabs>
        <w:autoSpaceDE w:val="0"/>
        <w:autoSpaceDN w:val="0"/>
        <w:adjustRightInd w:val="0"/>
        <w:spacing w:line="360" w:lineRule="auto"/>
        <w:ind w:firstLine="480"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pPr>
        <w:tabs>
          <w:tab w:val="left" w:pos="700"/>
        </w:tabs>
        <w:autoSpaceDE w:val="0"/>
        <w:autoSpaceDN w:val="0"/>
        <w:adjustRightInd w:val="0"/>
        <w:spacing w:line="360" w:lineRule="auto"/>
        <w:ind w:firstLine="480"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28"/>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pPr>
        <w:pStyle w:val="28"/>
        <w:spacing w:line="360" w:lineRule="auto"/>
        <w:jc w:val="right"/>
        <w:rPr>
          <w:b/>
          <w:bCs/>
          <w:color w:val="auto"/>
          <w:kern w:val="28"/>
          <w:sz w:val="32"/>
          <w:szCs w:val="32"/>
          <w:lang w:eastAsia="zh-CN"/>
        </w:rPr>
      </w:pPr>
      <w:r>
        <w:rPr>
          <w:rFonts w:ascii="Times New Roman" w:hAnsi="Times New Roman" w:eastAsia="宋体" w:cs="Times New Roman"/>
          <w:color w:val="auto"/>
        </w:rPr>
        <w:t>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rPr>
        <w:t>10</w:t>
      </w:r>
      <w:r>
        <w:rPr>
          <w:rFonts w:ascii="Times New Roman" w:hAnsi="Times New Roman" w:eastAsia="宋体" w:cs="Times New Roman"/>
          <w:color w:val="auto"/>
        </w:rPr>
        <w:t>月</w:t>
      </w:r>
      <w:r>
        <w:rPr>
          <w:rFonts w:hint="eastAsia" w:ascii="Times New Roman" w:hAnsi="Times New Roman" w:eastAsia="宋体" w:cs="Times New Roman"/>
          <w:color w:val="auto"/>
        </w:rPr>
        <w:t>20</w:t>
      </w:r>
      <w:r>
        <w:rPr>
          <w:rFonts w:ascii="Times New Roman" w:hAnsi="Times New Roman" w:eastAsia="宋体" w:cs="Times New Roman"/>
          <w:color w:val="auto"/>
        </w:rPr>
        <w:t>日</w:t>
      </w:r>
      <w:r>
        <w:rPr>
          <w:color w:val="auto"/>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80" w:firstLineChars="200"/>
        <w:outlineLvl w:val="0"/>
        <w:rPr>
          <w:sz w:val="24"/>
          <w:szCs w:val="24"/>
        </w:rPr>
      </w:pPr>
      <w:r>
        <w:rPr>
          <w:sz w:val="24"/>
          <w:szCs w:val="24"/>
        </w:rPr>
        <w:t>一、商务要求</w:t>
      </w:r>
    </w:p>
    <w:p>
      <w:pPr>
        <w:tabs>
          <w:tab w:val="left" w:pos="210"/>
        </w:tabs>
        <w:autoSpaceDE w:val="0"/>
        <w:autoSpaceDN w:val="0"/>
        <w:adjustRightInd w:val="0"/>
        <w:spacing w:line="360" w:lineRule="auto"/>
        <w:ind w:firstLine="480" w:firstLineChars="200"/>
        <w:outlineLvl w:val="0"/>
        <w:rPr>
          <w:sz w:val="24"/>
          <w:szCs w:val="24"/>
        </w:rPr>
      </w:pPr>
      <w:r>
        <w:rPr>
          <w:sz w:val="24"/>
          <w:szCs w:val="24"/>
        </w:rPr>
        <w:t>（一）报价要求</w:t>
      </w:r>
    </w:p>
    <w:p>
      <w:pPr>
        <w:autoSpaceDE w:val="0"/>
        <w:autoSpaceDN w:val="0"/>
        <w:adjustRightInd w:val="0"/>
        <w:spacing w:line="360" w:lineRule="auto"/>
        <w:ind w:firstLine="480" w:firstLineChars="200"/>
        <w:rPr>
          <w:sz w:val="24"/>
        </w:rPr>
      </w:pPr>
      <w:r>
        <w:rPr>
          <w:sz w:val="24"/>
        </w:rPr>
        <w:t>1. 投标报价以人民币填列。</w:t>
      </w:r>
    </w:p>
    <w:p>
      <w:pPr>
        <w:autoSpaceDE w:val="0"/>
        <w:autoSpaceDN w:val="0"/>
        <w:adjustRightInd w:val="0"/>
        <w:spacing w:line="360" w:lineRule="auto"/>
        <w:ind w:firstLine="480" w:firstLineChars="200"/>
        <w:rPr>
          <w:sz w:val="24"/>
        </w:rPr>
      </w:pPr>
      <w:r>
        <w:rPr>
          <w:sz w:val="24"/>
        </w:rPr>
        <w:t>2. 投标人的报价应包括：人员费用、</w:t>
      </w:r>
      <w:r>
        <w:rPr>
          <w:rFonts w:hint="eastAsia"/>
          <w:sz w:val="24"/>
        </w:rPr>
        <w:t>维保</w:t>
      </w:r>
      <w:r>
        <w:rPr>
          <w:sz w:val="24"/>
        </w:rPr>
        <w:t>服务费用、</w:t>
      </w:r>
      <w:r>
        <w:rPr>
          <w:rFonts w:hint="eastAsia"/>
          <w:sz w:val="24"/>
        </w:rPr>
        <w:t>管理费及税金</w:t>
      </w:r>
      <w:r>
        <w:rPr>
          <w:sz w:val="24"/>
        </w:rPr>
        <w:t>等为完成招标文件规定的一切工作所需的全部费用。投标人所报价格应为最终优惠价格。</w:t>
      </w:r>
    </w:p>
    <w:p>
      <w:pPr>
        <w:spacing w:line="360" w:lineRule="auto"/>
        <w:ind w:firstLine="480" w:firstLineChars="200"/>
        <w:rPr>
          <w:kern w:val="0"/>
          <w:sz w:val="24"/>
          <w:szCs w:val="24"/>
        </w:rPr>
      </w:pPr>
      <w:r>
        <w:rPr>
          <w:rFonts w:hint="eastAsia"/>
          <w:kern w:val="0"/>
          <w:sz w:val="24"/>
          <w:szCs w:val="24"/>
        </w:rPr>
        <w:t xml:space="preserve">3. </w:t>
      </w:r>
      <w:r>
        <w:rPr>
          <w:sz w:val="24"/>
        </w:rPr>
        <w:t>验收相关费用由投标人负责。</w:t>
      </w:r>
    </w:p>
    <w:p>
      <w:pPr>
        <w:autoSpaceDE w:val="0"/>
        <w:autoSpaceDN w:val="0"/>
        <w:adjustRightInd w:val="0"/>
        <w:spacing w:line="360" w:lineRule="auto"/>
        <w:ind w:firstLine="480" w:firstLineChars="200"/>
        <w:rPr>
          <w:sz w:val="24"/>
        </w:rPr>
      </w:pPr>
      <w:r>
        <w:rPr>
          <w:sz w:val="24"/>
        </w:rPr>
        <w:t>（二）服务要求</w:t>
      </w:r>
    </w:p>
    <w:p>
      <w:pPr>
        <w:autoSpaceDE w:val="0"/>
        <w:autoSpaceDN w:val="0"/>
        <w:adjustRightInd w:val="0"/>
        <w:spacing w:line="360" w:lineRule="auto"/>
        <w:ind w:firstLine="480" w:firstLineChars="200"/>
        <w:rPr>
          <w:sz w:val="24"/>
        </w:rPr>
      </w:pPr>
      <w:r>
        <w:rPr>
          <w:sz w:val="24"/>
        </w:rPr>
        <w:t>投标人提供详细的服务方案。</w:t>
      </w:r>
    </w:p>
    <w:p>
      <w:pPr>
        <w:autoSpaceDE w:val="0"/>
        <w:autoSpaceDN w:val="0"/>
        <w:adjustRightInd w:val="0"/>
        <w:spacing w:line="360" w:lineRule="auto"/>
        <w:ind w:firstLine="480" w:firstLineChars="200"/>
        <w:rPr>
          <w:sz w:val="24"/>
        </w:rPr>
      </w:pPr>
      <w:r>
        <w:rPr>
          <w:sz w:val="24"/>
        </w:rPr>
        <w:t>（三）时间、地点要求</w:t>
      </w:r>
    </w:p>
    <w:p>
      <w:pPr>
        <w:autoSpaceDE w:val="0"/>
        <w:autoSpaceDN w:val="0"/>
        <w:adjustRightInd w:val="0"/>
        <w:spacing w:line="360" w:lineRule="auto"/>
        <w:ind w:firstLine="480" w:firstLineChars="200"/>
        <w:rPr>
          <w:sz w:val="24"/>
        </w:rPr>
      </w:pPr>
      <w:r>
        <w:rPr>
          <w:sz w:val="24"/>
        </w:rPr>
        <w:t>1. 时间要求：</w:t>
      </w:r>
      <w:r>
        <w:rPr>
          <w:rFonts w:hint="eastAsia"/>
          <w:sz w:val="24"/>
        </w:rPr>
        <w:t>服务期限一年，起止日期以合同为准</w:t>
      </w:r>
      <w:r>
        <w:rPr>
          <w:sz w:val="24"/>
        </w:rPr>
        <w:t>（特殊情况以合同为准）。</w:t>
      </w:r>
    </w:p>
    <w:p>
      <w:pPr>
        <w:autoSpaceDE w:val="0"/>
        <w:autoSpaceDN w:val="0"/>
        <w:adjustRightInd w:val="0"/>
        <w:spacing w:line="360" w:lineRule="auto"/>
        <w:ind w:firstLine="480" w:firstLineChars="200"/>
        <w:rPr>
          <w:sz w:val="24"/>
        </w:rPr>
      </w:pPr>
      <w:r>
        <w:rPr>
          <w:sz w:val="24"/>
        </w:rPr>
        <w:t>2. 服务地点：</w:t>
      </w:r>
      <w:r>
        <w:rPr>
          <w:rFonts w:hint="eastAsia"/>
          <w:sz w:val="24"/>
        </w:rPr>
        <w:t>天津市河西区梅江道20号</w:t>
      </w:r>
      <w:r>
        <w:rPr>
          <w:sz w:val="24"/>
        </w:rPr>
        <w:t>（特殊情况以合同为准）。</w:t>
      </w:r>
    </w:p>
    <w:p>
      <w:pPr>
        <w:autoSpaceDE w:val="0"/>
        <w:autoSpaceDN w:val="0"/>
        <w:adjustRightInd w:val="0"/>
        <w:spacing w:line="360" w:lineRule="auto"/>
        <w:ind w:firstLine="480" w:firstLineChars="200"/>
        <w:rPr>
          <w:sz w:val="24"/>
        </w:rPr>
      </w:pPr>
      <w:r>
        <w:rPr>
          <w:sz w:val="24"/>
        </w:rPr>
        <w:t>（四）付款方式</w:t>
      </w:r>
    </w:p>
    <w:p>
      <w:pPr>
        <w:autoSpaceDE w:val="0"/>
        <w:autoSpaceDN w:val="0"/>
        <w:adjustRightInd w:val="0"/>
        <w:spacing w:line="360" w:lineRule="auto"/>
        <w:ind w:firstLine="480" w:firstLineChars="200"/>
        <w:rPr>
          <w:sz w:val="24"/>
        </w:rPr>
      </w:pPr>
      <w:r>
        <w:rPr>
          <w:rFonts w:hint="eastAsia"/>
          <w:sz w:val="24"/>
        </w:rPr>
        <w:t>签订</w:t>
      </w:r>
      <w:r>
        <w:rPr>
          <w:sz w:val="24"/>
        </w:rPr>
        <w:t>合同</w:t>
      </w:r>
      <w:r>
        <w:rPr>
          <w:rFonts w:hint="eastAsia"/>
          <w:sz w:val="24"/>
        </w:rPr>
        <w:t>之日起</w:t>
      </w:r>
      <w:r>
        <w:rPr>
          <w:sz w:val="24"/>
        </w:rPr>
        <w:t>1</w:t>
      </w:r>
      <w:r>
        <w:rPr>
          <w:rFonts w:hint="eastAsia"/>
          <w:sz w:val="24"/>
        </w:rPr>
        <w:t>0</w:t>
      </w:r>
      <w:r>
        <w:rPr>
          <w:sz w:val="24"/>
        </w:rPr>
        <w:t>个工作日内</w:t>
      </w:r>
      <w:r>
        <w:rPr>
          <w:rFonts w:hint="eastAsia"/>
          <w:sz w:val="24"/>
        </w:rPr>
        <w:t>支付</w:t>
      </w:r>
      <w:r>
        <w:rPr>
          <w:sz w:val="24"/>
        </w:rPr>
        <w:t>合同总额的</w:t>
      </w:r>
      <w:r>
        <w:rPr>
          <w:rFonts w:hint="eastAsia"/>
          <w:sz w:val="24"/>
        </w:rPr>
        <w:t>3</w:t>
      </w:r>
      <w:r>
        <w:rPr>
          <w:sz w:val="24"/>
        </w:rPr>
        <w:t>0%，</w:t>
      </w:r>
      <w:r>
        <w:rPr>
          <w:rFonts w:hint="eastAsia"/>
          <w:sz w:val="24"/>
        </w:rPr>
        <w:t>运维人员进场之日起10个工作日内支付合同总额的60%，任务完成、</w:t>
      </w:r>
      <w:r>
        <w:rPr>
          <w:sz w:val="24"/>
        </w:rPr>
        <w:t>验收合格</w:t>
      </w:r>
      <w:r>
        <w:rPr>
          <w:rFonts w:hint="eastAsia"/>
          <w:sz w:val="24"/>
        </w:rPr>
        <w:t>之日起</w:t>
      </w:r>
      <w:r>
        <w:rPr>
          <w:sz w:val="24"/>
        </w:rPr>
        <w:t>1</w:t>
      </w:r>
      <w:r>
        <w:rPr>
          <w:rFonts w:hint="eastAsia"/>
          <w:sz w:val="24"/>
        </w:rPr>
        <w:t>0</w:t>
      </w:r>
      <w:r>
        <w:rPr>
          <w:sz w:val="24"/>
        </w:rPr>
        <w:t>个工作日内支付合同总额的</w:t>
      </w:r>
      <w:r>
        <w:rPr>
          <w:rFonts w:hint="eastAsia"/>
          <w:sz w:val="24"/>
        </w:rPr>
        <w:t>1</w:t>
      </w:r>
      <w:r>
        <w:rPr>
          <w:sz w:val="24"/>
        </w:rPr>
        <w:t>0%（特殊情况以合同为准）。</w:t>
      </w:r>
    </w:p>
    <w:p>
      <w:pPr>
        <w:autoSpaceDE w:val="0"/>
        <w:autoSpaceDN w:val="0"/>
        <w:adjustRightInd w:val="0"/>
        <w:spacing w:line="360" w:lineRule="auto"/>
        <w:ind w:firstLine="480" w:firstLineChars="200"/>
        <w:rPr>
          <w:sz w:val="24"/>
        </w:rPr>
      </w:pPr>
      <w:r>
        <w:rPr>
          <w:sz w:val="24"/>
        </w:rPr>
        <w:t>（五）投标保证金和履约保证金</w:t>
      </w:r>
    </w:p>
    <w:p>
      <w:pPr>
        <w:autoSpaceDE w:val="0"/>
        <w:autoSpaceDN w:val="0"/>
        <w:adjustRightInd w:val="0"/>
        <w:spacing w:line="360" w:lineRule="auto"/>
        <w:ind w:firstLine="480" w:firstLineChars="200"/>
        <w:rPr>
          <w:sz w:val="24"/>
        </w:rPr>
      </w:pPr>
      <w:r>
        <w:rPr>
          <w:sz w:val="24"/>
        </w:rPr>
        <w:t>本项目不收取投标保证金和履约保证金。</w:t>
      </w:r>
    </w:p>
    <w:p>
      <w:pPr>
        <w:autoSpaceDE w:val="0"/>
        <w:autoSpaceDN w:val="0"/>
        <w:adjustRightInd w:val="0"/>
        <w:spacing w:line="360" w:lineRule="auto"/>
        <w:ind w:firstLine="480" w:firstLineChars="200"/>
        <w:rPr>
          <w:sz w:val="24"/>
        </w:rPr>
      </w:pPr>
      <w:r>
        <w:rPr>
          <w:rFonts w:hint="eastAsia"/>
          <w:sz w:val="24"/>
        </w:rPr>
        <w:t>（六）验收方法及标准</w:t>
      </w:r>
    </w:p>
    <w:p>
      <w:pPr>
        <w:autoSpaceDE w:val="0"/>
        <w:autoSpaceDN w:val="0"/>
        <w:adjustRightInd w:val="0"/>
        <w:spacing w:line="360" w:lineRule="auto"/>
        <w:ind w:firstLine="480" w:firstLineChars="20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80" w:firstLineChars="200"/>
        <w:rPr>
          <w:bCs/>
          <w:sz w:val="24"/>
        </w:rPr>
      </w:pPr>
      <w:r>
        <w:rPr>
          <w:sz w:val="24"/>
        </w:rPr>
        <w:t>二</w:t>
      </w:r>
      <w:r>
        <w:rPr>
          <w:bCs/>
          <w:sz w:val="24"/>
        </w:rPr>
        <w:t>、技术要求</w:t>
      </w:r>
    </w:p>
    <w:p>
      <w:pPr>
        <w:autoSpaceDE w:val="0"/>
        <w:autoSpaceDN w:val="0"/>
        <w:adjustRightInd w:val="0"/>
        <w:spacing w:line="360" w:lineRule="auto"/>
        <w:ind w:firstLine="480" w:firstLineChars="200"/>
        <w:rPr>
          <w:sz w:val="24"/>
        </w:rPr>
      </w:pPr>
      <w:r>
        <w:rPr>
          <w:sz w:val="24"/>
        </w:rPr>
        <w:t>（一）具体需求详见本部分项目需求书。</w:t>
      </w:r>
    </w:p>
    <w:p>
      <w:pPr>
        <w:autoSpaceDE w:val="0"/>
        <w:autoSpaceDN w:val="0"/>
        <w:adjustRightInd w:val="0"/>
        <w:spacing w:line="360" w:lineRule="auto"/>
        <w:ind w:firstLine="480" w:firstLineChars="200"/>
        <w:rPr>
          <w:sz w:val="24"/>
        </w:rPr>
      </w:pPr>
      <w:r>
        <w:rPr>
          <w:sz w:val="24"/>
        </w:rPr>
        <w:t>（二）投标人须承诺所提供的服务、人员及设备符合相关国家强制性规定。</w:t>
      </w:r>
    </w:p>
    <w:p>
      <w:pPr>
        <w:autoSpaceDE w:val="0"/>
        <w:autoSpaceDN w:val="0"/>
        <w:adjustRightInd w:val="0"/>
        <w:spacing w:line="360" w:lineRule="auto"/>
        <w:ind w:firstLine="480" w:firstLineChars="200"/>
        <w:rPr>
          <w:sz w:val="24"/>
        </w:rPr>
      </w:pPr>
      <w:r>
        <w:rPr>
          <w:rFonts w:hint="eastAsia"/>
          <w:sz w:val="24"/>
        </w:rPr>
        <w:t>（三）</w:t>
      </w:r>
      <w:r>
        <w:rPr>
          <w:sz w:val="24"/>
        </w:rPr>
        <w:t>投标人须提供本项目相关技术</w:t>
      </w:r>
      <w:r>
        <w:rPr>
          <w:rFonts w:hint="eastAsia"/>
          <w:sz w:val="24"/>
        </w:rPr>
        <w:t>人员简历(含各成员的姓名、职务、职称、毕业学校、专业、专长、业绩等) 原则上不允许更换，如需更换人员，必须经采购人同意。</w:t>
      </w:r>
    </w:p>
    <w:p>
      <w:pPr>
        <w:autoSpaceDE w:val="0"/>
        <w:autoSpaceDN w:val="0"/>
        <w:adjustRightInd w:val="0"/>
        <w:spacing w:line="360" w:lineRule="auto"/>
        <w:ind w:firstLine="480" w:firstLineChars="200"/>
        <w:rPr>
          <w:sz w:val="24"/>
        </w:rPr>
      </w:pPr>
      <w:r>
        <w:rPr>
          <w:rFonts w:hint="eastAsia"/>
          <w:sz w:val="24"/>
        </w:rPr>
        <w:t>（四）若本项目涉及对采购人原有系统的修改、升级或对接业务，采购人免费开放原有系统的接口协议、源代码、数据结构等与修改、升级或对接相关的所有资料。如需原系统开发商配合的，采购人负责协调。</w:t>
      </w:r>
    </w:p>
    <w:p>
      <w:pPr>
        <w:spacing w:line="360" w:lineRule="auto"/>
        <w:ind w:firstLine="480"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396"/>
        <w:gridCol w:w="6"/>
        <w:gridCol w:w="730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6" w:type="dxa"/>
            <w:gridSpan w:val="4"/>
            <w:shd w:val="clear" w:color="auto" w:fill="auto"/>
            <w:vAlign w:val="center"/>
          </w:tcPr>
          <w:p>
            <w:pPr>
              <w:widowControl/>
              <w:adjustRightInd w:val="0"/>
              <w:snapToGrid w:val="0"/>
              <w:jc w:val="center"/>
              <w:rPr>
                <w:kern w:val="0"/>
                <w:sz w:val="24"/>
                <w:szCs w:val="24"/>
              </w:rPr>
            </w:pPr>
            <w:r>
              <w:rPr>
                <w:kern w:val="0"/>
                <w:sz w:val="24"/>
                <w:szCs w:val="24"/>
              </w:rPr>
              <w:t>第一部分 价格（</w:t>
            </w:r>
            <w:r>
              <w:rPr>
                <w:rFonts w:hint="eastAsia"/>
                <w:kern w:val="0"/>
                <w:sz w:val="24"/>
                <w:szCs w:val="24"/>
              </w:rPr>
              <w:t>1</w:t>
            </w:r>
            <w:r>
              <w:rPr>
                <w:kern w:val="0"/>
                <w:sz w:val="24"/>
                <w:szCs w:val="24"/>
              </w:rPr>
              <w:t>0分）</w:t>
            </w:r>
          </w:p>
        </w:tc>
        <w:tc>
          <w:tcPr>
            <w:tcW w:w="1140"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6" w:type="dxa"/>
            <w:shd w:val="clear" w:color="auto" w:fill="auto"/>
            <w:noWrap/>
            <w:vAlign w:val="center"/>
          </w:tcPr>
          <w:p>
            <w:pPr>
              <w:widowControl/>
              <w:adjustRightInd w:val="0"/>
              <w:snapToGrid w:val="0"/>
              <w:jc w:val="center"/>
              <w:rPr>
                <w:kern w:val="0"/>
                <w:sz w:val="24"/>
                <w:szCs w:val="24"/>
              </w:rPr>
            </w:pPr>
            <w:r>
              <w:rPr>
                <w:kern w:val="0"/>
                <w:sz w:val="24"/>
                <w:szCs w:val="24"/>
              </w:rPr>
              <w:t>1</w:t>
            </w:r>
          </w:p>
        </w:tc>
        <w:tc>
          <w:tcPr>
            <w:tcW w:w="1396" w:type="dxa"/>
            <w:shd w:val="clear" w:color="auto" w:fill="auto"/>
            <w:vAlign w:val="center"/>
          </w:tcPr>
          <w:p>
            <w:pPr>
              <w:widowControl/>
              <w:adjustRightInd w:val="0"/>
              <w:snapToGrid w:val="0"/>
              <w:jc w:val="center"/>
              <w:rPr>
                <w:kern w:val="0"/>
                <w:sz w:val="24"/>
                <w:szCs w:val="24"/>
              </w:rPr>
            </w:pPr>
            <w:r>
              <w:rPr>
                <w:kern w:val="0"/>
                <w:sz w:val="24"/>
                <w:szCs w:val="24"/>
              </w:rPr>
              <w:t>价格</w:t>
            </w:r>
          </w:p>
        </w:tc>
        <w:tc>
          <w:tcPr>
            <w:tcW w:w="7314" w:type="dxa"/>
            <w:gridSpan w:val="2"/>
            <w:shd w:val="clear" w:color="auto" w:fill="auto"/>
            <w:vAlign w:val="center"/>
          </w:tcPr>
          <w:p>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rPr>
                <w:kern w:val="0"/>
                <w:sz w:val="24"/>
                <w:szCs w:val="24"/>
              </w:rPr>
            </w:pPr>
            <w:r>
              <w:rPr>
                <w:kern w:val="0"/>
                <w:sz w:val="24"/>
                <w:szCs w:val="24"/>
              </w:rPr>
              <w:t>（2）投标报价得分=（评标基准价/投标报价）×</w:t>
            </w:r>
            <w:r>
              <w:rPr>
                <w:rFonts w:hint="eastAsia"/>
                <w:kern w:val="0"/>
                <w:sz w:val="24"/>
                <w:szCs w:val="24"/>
              </w:rPr>
              <w:t>1</w:t>
            </w:r>
            <w:r>
              <w:rPr>
                <w:kern w:val="0"/>
                <w:sz w:val="24"/>
                <w:szCs w:val="24"/>
              </w:rPr>
              <w:t>0</w:t>
            </w:r>
          </w:p>
          <w:p>
            <w:pPr>
              <w:widowControl/>
              <w:adjustRightInd w:val="0"/>
              <w:snapToGrid w:val="0"/>
              <w:rPr>
                <w:kern w:val="0"/>
                <w:sz w:val="24"/>
                <w:szCs w:val="24"/>
              </w:rPr>
            </w:pPr>
            <w:r>
              <w:rPr>
                <w:kern w:val="0"/>
                <w:sz w:val="24"/>
                <w:szCs w:val="24"/>
              </w:rPr>
              <w:t>注：满足</w:t>
            </w:r>
            <w:r>
              <w:rPr>
                <w:rFonts w:hint="eastAsia"/>
                <w:kern w:val="0"/>
                <w:sz w:val="24"/>
                <w:szCs w:val="24"/>
              </w:rPr>
              <w:t>招标文件</w:t>
            </w:r>
            <w:r>
              <w:rPr>
                <w:kern w:val="0"/>
                <w:sz w:val="24"/>
                <w:szCs w:val="24"/>
              </w:rPr>
              <w:t>要求且投标报价最低的投标报价为评标基准价。</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1</w:t>
            </w:r>
            <w:r>
              <w:rPr>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6" w:type="dxa"/>
            <w:gridSpan w:val="4"/>
            <w:shd w:val="clear" w:color="auto" w:fill="auto"/>
            <w:noWrap/>
            <w:vAlign w:val="center"/>
          </w:tcPr>
          <w:p>
            <w:pPr>
              <w:widowControl/>
              <w:adjustRightInd w:val="0"/>
              <w:snapToGrid w:val="0"/>
              <w:jc w:val="center"/>
              <w:rPr>
                <w:kern w:val="0"/>
                <w:sz w:val="24"/>
                <w:szCs w:val="24"/>
              </w:rPr>
            </w:pPr>
            <w:r>
              <w:rPr>
                <w:kern w:val="0"/>
                <w:sz w:val="24"/>
                <w:szCs w:val="24"/>
              </w:rPr>
              <w:t>第二部分 客观分（</w:t>
            </w:r>
            <w:r>
              <w:rPr>
                <w:rFonts w:hint="eastAsia"/>
                <w:kern w:val="0"/>
                <w:sz w:val="24"/>
                <w:szCs w:val="24"/>
              </w:rPr>
              <w:t>27</w:t>
            </w:r>
            <w:r>
              <w:rPr>
                <w:kern w:val="0"/>
                <w:sz w:val="24"/>
                <w:szCs w:val="24"/>
              </w:rPr>
              <w:t>分）</w:t>
            </w:r>
          </w:p>
        </w:tc>
        <w:tc>
          <w:tcPr>
            <w:tcW w:w="1140"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6" w:type="dxa"/>
            <w:shd w:val="clear" w:color="auto" w:fill="auto"/>
            <w:noWrap/>
            <w:vAlign w:val="center"/>
          </w:tcPr>
          <w:p>
            <w:pPr>
              <w:widowControl/>
              <w:adjustRightInd w:val="0"/>
              <w:snapToGrid w:val="0"/>
              <w:jc w:val="center"/>
              <w:rPr>
                <w:kern w:val="0"/>
                <w:sz w:val="24"/>
                <w:szCs w:val="24"/>
              </w:rPr>
            </w:pPr>
            <w:r>
              <w:rPr>
                <w:kern w:val="0"/>
                <w:sz w:val="24"/>
                <w:szCs w:val="24"/>
              </w:rPr>
              <w:t>1</w:t>
            </w:r>
          </w:p>
        </w:tc>
        <w:tc>
          <w:tcPr>
            <w:tcW w:w="1396" w:type="dxa"/>
            <w:shd w:val="clear" w:color="auto" w:fill="auto"/>
            <w:vAlign w:val="center"/>
          </w:tcPr>
          <w:p>
            <w:pPr>
              <w:widowControl/>
              <w:adjustRightInd w:val="0"/>
              <w:snapToGrid w:val="0"/>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pPr>
              <w:widowControl/>
              <w:adjustRightInd w:val="0"/>
              <w:snapToGrid w:val="0"/>
              <w:rPr>
                <w:kern w:val="0"/>
                <w:sz w:val="24"/>
                <w:szCs w:val="24"/>
              </w:rPr>
            </w:pPr>
            <w:r>
              <w:rPr>
                <w:rFonts w:hint="eastAsia"/>
                <w:kern w:val="0"/>
                <w:sz w:val="24"/>
                <w:szCs w:val="24"/>
              </w:rPr>
              <w:t>完全按照以下要求提供投标人曾实施的信息化系统运行维护业绩，提供的证明材料均不得遮挡涂黑，否则不予认定加分。</w:t>
            </w:r>
          </w:p>
          <w:p>
            <w:pPr>
              <w:widowControl/>
              <w:adjustRightInd w:val="0"/>
              <w:snapToGrid w:val="0"/>
              <w:rPr>
                <w:kern w:val="0"/>
                <w:sz w:val="24"/>
                <w:szCs w:val="24"/>
              </w:rPr>
            </w:pPr>
            <w:r>
              <w:rPr>
                <w:rFonts w:hint="eastAsia"/>
                <w:kern w:val="0"/>
                <w:sz w:val="24"/>
                <w:szCs w:val="24"/>
              </w:rPr>
              <w:t>A</w:t>
            </w:r>
            <w:r>
              <w:rPr>
                <w:kern w:val="0"/>
                <w:sz w:val="24"/>
                <w:szCs w:val="24"/>
              </w:rPr>
              <w:t xml:space="preserve">. </w:t>
            </w:r>
            <w:r>
              <w:rPr>
                <w:rFonts w:hint="eastAsia"/>
                <w:kern w:val="0"/>
                <w:sz w:val="24"/>
                <w:szCs w:val="24"/>
              </w:rPr>
              <w:t>合同原件扫描件。包括合同金额、买卖双方名称及盖章、服务内容</w:t>
            </w:r>
            <w:r>
              <w:rPr>
                <w:rFonts w:hint="eastAsia"/>
                <w:bCs/>
                <w:sz w:val="24"/>
              </w:rPr>
              <w:t>、合同签订日期（应为2019年1月1日或以后）</w:t>
            </w:r>
            <w:r>
              <w:rPr>
                <w:rFonts w:hint="eastAsia"/>
                <w:kern w:val="0"/>
                <w:sz w:val="24"/>
                <w:szCs w:val="24"/>
              </w:rPr>
              <w:t>。</w:t>
            </w:r>
          </w:p>
          <w:p>
            <w:pPr>
              <w:widowControl/>
              <w:adjustRightInd w:val="0"/>
              <w:snapToGrid w:val="0"/>
              <w:rPr>
                <w:kern w:val="0"/>
                <w:sz w:val="24"/>
                <w:szCs w:val="24"/>
              </w:rPr>
            </w:pPr>
            <w:r>
              <w:rPr>
                <w:kern w:val="0"/>
                <w:sz w:val="24"/>
                <w:szCs w:val="24"/>
              </w:rPr>
              <w:t>B.</w:t>
            </w:r>
            <w:r>
              <w:rPr>
                <w:rFonts w:hint="eastAsia"/>
                <w:kern w:val="0"/>
                <w:sz w:val="24"/>
                <w:szCs w:val="24"/>
              </w:rPr>
              <w:t xml:space="preserve"> 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w:t>
            </w:r>
            <w:r>
              <w:rPr>
                <w:rFonts w:hint="eastAsia"/>
                <w:sz w:val="24"/>
              </w:rPr>
              <w:t>加盖上述合同甲方单位公章或上述合同中所盖的甲方印章</w:t>
            </w:r>
            <w:r>
              <w:rPr>
                <w:rFonts w:hint="eastAsia"/>
                <w:kern w:val="0"/>
                <w:sz w:val="24"/>
                <w:szCs w:val="24"/>
              </w:rPr>
              <w:t>）</w:t>
            </w:r>
            <w:r>
              <w:rPr>
                <w:kern w:val="0"/>
                <w:sz w:val="24"/>
                <w:szCs w:val="24"/>
              </w:rPr>
              <w:t>。</w:t>
            </w:r>
          </w:p>
          <w:p>
            <w:pPr>
              <w:widowControl/>
              <w:adjustRightInd w:val="0"/>
              <w:snapToGrid w:val="0"/>
              <w:rPr>
                <w:kern w:val="0"/>
                <w:sz w:val="24"/>
                <w:szCs w:val="24"/>
              </w:rPr>
            </w:pPr>
            <w:r>
              <w:rPr>
                <w:rFonts w:hint="eastAsia"/>
                <w:kern w:val="0"/>
                <w:sz w:val="24"/>
                <w:szCs w:val="24"/>
              </w:rPr>
              <w:t>每个业绩2分，最多6分</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2</w:t>
            </w:r>
          </w:p>
        </w:tc>
        <w:tc>
          <w:tcPr>
            <w:tcW w:w="1402" w:type="dxa"/>
            <w:gridSpan w:val="2"/>
            <w:shd w:val="clear" w:color="auto" w:fill="auto"/>
            <w:vAlign w:val="center"/>
          </w:tcPr>
          <w:p>
            <w:pPr>
              <w:widowControl/>
              <w:adjustRightInd w:val="0"/>
              <w:snapToGrid w:val="0"/>
              <w:jc w:val="center"/>
              <w:rPr>
                <w:kern w:val="0"/>
                <w:sz w:val="24"/>
                <w:szCs w:val="24"/>
              </w:rPr>
            </w:pPr>
            <w:r>
              <w:rPr>
                <w:rFonts w:hint="eastAsia"/>
                <w:kern w:val="0"/>
                <w:sz w:val="24"/>
                <w:szCs w:val="24"/>
              </w:rPr>
              <w:t>投标人相关证书评价</w:t>
            </w:r>
          </w:p>
        </w:tc>
        <w:tc>
          <w:tcPr>
            <w:tcW w:w="7308" w:type="dxa"/>
            <w:shd w:val="clear" w:color="auto" w:fill="auto"/>
            <w:vAlign w:val="center"/>
          </w:tcPr>
          <w:p>
            <w:pPr>
              <w:adjustRightInd w:val="0"/>
              <w:snapToGrid w:val="0"/>
              <w:outlineLvl w:val="0"/>
              <w:rPr>
                <w:sz w:val="24"/>
              </w:rPr>
            </w:pPr>
            <w:r>
              <w:rPr>
                <w:rFonts w:hint="eastAsia"/>
                <w:kern w:val="0"/>
                <w:sz w:val="24"/>
                <w:szCs w:val="24"/>
              </w:rPr>
              <w:t>投标人</w:t>
            </w:r>
            <w:r>
              <w:rPr>
                <w:rFonts w:hint="eastAsia"/>
                <w:sz w:val="24"/>
              </w:rPr>
              <w:t>具备质量管理体系认证、职业健康安全管理体系认证、环境管理体系认证、信息安全管理体系认证、ITSS信息技术服务运行维护标准符合性证书（二级或以上），提供证书扫描件，每个合格的证书扫描件得1分，最多5分</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3</w:t>
            </w:r>
          </w:p>
        </w:tc>
        <w:tc>
          <w:tcPr>
            <w:tcW w:w="1402" w:type="dxa"/>
            <w:gridSpan w:val="2"/>
            <w:shd w:val="clear" w:color="auto" w:fill="auto"/>
            <w:vAlign w:val="center"/>
          </w:tcPr>
          <w:p>
            <w:pPr>
              <w:widowControl/>
              <w:adjustRightInd w:val="0"/>
              <w:snapToGrid w:val="0"/>
              <w:jc w:val="center"/>
              <w:rPr>
                <w:kern w:val="0"/>
                <w:sz w:val="24"/>
                <w:szCs w:val="24"/>
              </w:rPr>
            </w:pPr>
            <w:r>
              <w:rPr>
                <w:rFonts w:hint="eastAsia"/>
                <w:sz w:val="24"/>
              </w:rPr>
              <w:t>投入</w:t>
            </w:r>
            <w:r>
              <w:rPr>
                <w:sz w:val="24"/>
              </w:rPr>
              <w:t>人员评价</w:t>
            </w:r>
          </w:p>
        </w:tc>
        <w:tc>
          <w:tcPr>
            <w:tcW w:w="7308" w:type="dxa"/>
            <w:shd w:val="clear" w:color="auto" w:fill="auto"/>
            <w:vAlign w:val="center"/>
          </w:tcPr>
          <w:p>
            <w:pPr>
              <w:widowControl/>
              <w:adjustRightInd w:val="0"/>
              <w:snapToGrid w:val="0"/>
              <w:rPr>
                <w:kern w:val="0"/>
                <w:sz w:val="24"/>
                <w:szCs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pPr>
              <w:adjustRightInd w:val="0"/>
              <w:snapToGrid w:val="0"/>
              <w:outlineLvl w:val="0"/>
              <w:rPr>
                <w:sz w:val="24"/>
              </w:rPr>
            </w:pPr>
            <w:r>
              <w:rPr>
                <w:sz w:val="24"/>
              </w:rPr>
              <w:t>（1）</w:t>
            </w:r>
            <w:r>
              <w:rPr>
                <w:rFonts w:hint="eastAsia"/>
                <w:sz w:val="24"/>
              </w:rPr>
              <w:t>项目经理</w:t>
            </w:r>
            <w:r>
              <w:rPr>
                <w:sz w:val="24"/>
              </w:rPr>
              <w:t>具备</w:t>
            </w:r>
            <w:r>
              <w:rPr>
                <w:rFonts w:hint="eastAsia"/>
                <w:sz w:val="24"/>
              </w:rPr>
              <w:t>ITSS IT服务项目经理、注册信息安全专业人员（CISP）证书、HCIE或H3CIE认证证书</w:t>
            </w:r>
            <w:r>
              <w:rPr>
                <w:sz w:val="24"/>
              </w:rPr>
              <w:t>，提供以上证书扫描件，每个合格的证书扫描件得</w:t>
            </w:r>
            <w:r>
              <w:rPr>
                <w:rFonts w:hint="eastAsia"/>
                <w:sz w:val="24"/>
              </w:rPr>
              <w:t>1</w:t>
            </w:r>
            <w:r>
              <w:rPr>
                <w:sz w:val="24"/>
              </w:rPr>
              <w:t>分，最多</w:t>
            </w:r>
            <w:r>
              <w:rPr>
                <w:rFonts w:hint="eastAsia"/>
                <w:sz w:val="24"/>
              </w:rPr>
              <w:t>3</w:t>
            </w:r>
            <w:r>
              <w:rPr>
                <w:sz w:val="24"/>
              </w:rPr>
              <w:t>分；</w:t>
            </w:r>
          </w:p>
          <w:p>
            <w:pPr>
              <w:adjustRightInd w:val="0"/>
              <w:snapToGrid w:val="0"/>
              <w:outlineLvl w:val="0"/>
              <w:rPr>
                <w:sz w:val="24"/>
              </w:rPr>
            </w:pPr>
            <w:r>
              <w:rPr>
                <w:rFonts w:hint="eastAsia"/>
                <w:sz w:val="24"/>
              </w:rPr>
              <w:t>（2）项目人员具备注册信息安全专业人员（CISP）证书，提供证书扫描件</w:t>
            </w:r>
          </w:p>
          <w:p>
            <w:pPr>
              <w:adjustRightInd w:val="0"/>
              <w:snapToGrid w:val="0"/>
              <w:outlineLvl w:val="0"/>
              <w:rPr>
                <w:sz w:val="24"/>
              </w:rPr>
            </w:pPr>
            <w:r>
              <w:rPr>
                <w:rFonts w:hint="eastAsia"/>
                <w:sz w:val="24"/>
              </w:rPr>
              <w:t>A. 满足以上要求的项目人员≥3人的：3分；</w:t>
            </w:r>
          </w:p>
          <w:p>
            <w:pPr>
              <w:adjustRightInd w:val="0"/>
              <w:snapToGrid w:val="0"/>
              <w:outlineLvl w:val="0"/>
              <w:rPr>
                <w:sz w:val="24"/>
              </w:rPr>
            </w:pPr>
            <w:r>
              <w:rPr>
                <w:rFonts w:hint="eastAsia"/>
                <w:sz w:val="24"/>
              </w:rPr>
              <w:t>B. 满足以上要求的项目人员≥2人的：2分；</w:t>
            </w:r>
          </w:p>
          <w:p>
            <w:pPr>
              <w:adjustRightInd w:val="0"/>
              <w:snapToGrid w:val="0"/>
              <w:outlineLvl w:val="0"/>
              <w:rPr>
                <w:sz w:val="24"/>
              </w:rPr>
            </w:pPr>
            <w:r>
              <w:rPr>
                <w:rFonts w:hint="eastAsia"/>
                <w:sz w:val="24"/>
              </w:rPr>
              <w:t>C. 满足以上要求的项目人员≥1人的：1分；其他0分</w:t>
            </w:r>
          </w:p>
          <w:p>
            <w:pPr>
              <w:adjustRightInd w:val="0"/>
              <w:snapToGrid w:val="0"/>
              <w:outlineLvl w:val="0"/>
              <w:rPr>
                <w:sz w:val="24"/>
              </w:rPr>
            </w:pPr>
            <w:r>
              <w:rPr>
                <w:rFonts w:hint="eastAsia"/>
                <w:sz w:val="24"/>
              </w:rPr>
              <w:t>注：一人持多证不重复记分。</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4</w:t>
            </w:r>
          </w:p>
        </w:tc>
        <w:tc>
          <w:tcPr>
            <w:tcW w:w="1402" w:type="dxa"/>
            <w:gridSpan w:val="2"/>
            <w:shd w:val="clear" w:color="auto" w:fill="auto"/>
            <w:vAlign w:val="center"/>
          </w:tcPr>
          <w:p>
            <w:pPr>
              <w:widowControl/>
              <w:adjustRightInd w:val="0"/>
              <w:snapToGrid w:val="0"/>
              <w:jc w:val="center"/>
              <w:rPr>
                <w:sz w:val="24"/>
              </w:rPr>
            </w:pPr>
            <w:r>
              <w:rPr>
                <w:rFonts w:hint="eastAsia"/>
                <w:sz w:val="24"/>
              </w:rPr>
              <w:t>安全服务工具证书评价</w:t>
            </w:r>
          </w:p>
        </w:tc>
        <w:tc>
          <w:tcPr>
            <w:tcW w:w="7308" w:type="dxa"/>
            <w:shd w:val="clear" w:color="auto" w:fill="auto"/>
            <w:vAlign w:val="center"/>
          </w:tcPr>
          <w:p>
            <w:pPr>
              <w:widowControl/>
              <w:adjustRightInd w:val="0"/>
              <w:snapToGrid w:val="0"/>
              <w:rPr>
                <w:kern w:val="0"/>
                <w:sz w:val="24"/>
                <w:szCs w:val="24"/>
              </w:rPr>
            </w:pPr>
            <w:r>
              <w:rPr>
                <w:rFonts w:hint="eastAsia"/>
                <w:kern w:val="0"/>
                <w:sz w:val="24"/>
                <w:szCs w:val="24"/>
              </w:rPr>
              <w:t>投入的安全服务工具具备《云计算产品信息安全认证证书》、《国家信息安全漏洞库（CNNVD）兼容性资质证书》，提供1份证书扫描件得1分，最多2分。</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5</w:t>
            </w:r>
          </w:p>
        </w:tc>
        <w:tc>
          <w:tcPr>
            <w:tcW w:w="1402" w:type="dxa"/>
            <w:gridSpan w:val="2"/>
            <w:shd w:val="clear" w:color="auto" w:fill="auto"/>
            <w:vAlign w:val="center"/>
          </w:tcPr>
          <w:p>
            <w:pPr>
              <w:widowControl/>
              <w:adjustRightInd w:val="0"/>
              <w:snapToGrid w:val="0"/>
              <w:jc w:val="center"/>
              <w:rPr>
                <w:sz w:val="24"/>
              </w:rPr>
            </w:pPr>
            <w:r>
              <w:rPr>
                <w:rFonts w:hint="eastAsia"/>
                <w:sz w:val="24"/>
              </w:rPr>
              <w:t>投标人承诺评价</w:t>
            </w:r>
          </w:p>
        </w:tc>
        <w:tc>
          <w:tcPr>
            <w:tcW w:w="7308" w:type="dxa"/>
            <w:shd w:val="clear" w:color="auto" w:fill="auto"/>
            <w:vAlign w:val="center"/>
          </w:tcPr>
          <w:p>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承诺完全满足招标文件“报价要求”、“时间地点要求”、“付款方式要求”和技术要求中非“★”号要求的：8分，其他0分。</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96" w:type="dxa"/>
            <w:gridSpan w:val="4"/>
            <w:shd w:val="clear" w:color="auto" w:fill="auto"/>
            <w:noWrap/>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rPr>
              <w:t>63</w:t>
            </w:r>
            <w:r>
              <w:rPr>
                <w:kern w:val="0"/>
                <w:sz w:val="24"/>
                <w:szCs w:val="24"/>
              </w:rPr>
              <w:t>分）</w:t>
            </w:r>
          </w:p>
        </w:tc>
        <w:tc>
          <w:tcPr>
            <w:tcW w:w="1140"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1</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项目技术需求理解及运维方案评价</w:t>
            </w:r>
          </w:p>
        </w:tc>
        <w:tc>
          <w:tcPr>
            <w:tcW w:w="7314" w:type="dxa"/>
            <w:gridSpan w:val="2"/>
            <w:shd w:val="clear" w:color="auto" w:fill="auto"/>
            <w:vAlign w:val="center"/>
          </w:tcPr>
          <w:p>
            <w:pPr>
              <w:widowControl/>
              <w:adjustRightInd w:val="0"/>
              <w:snapToGrid w:val="0"/>
              <w:rPr>
                <w:rFonts w:cs="宋体"/>
                <w:sz w:val="24"/>
                <w:szCs w:val="24"/>
                <w:lang w:val="zh-CN"/>
              </w:rPr>
            </w:pPr>
            <w:r>
              <w:rPr>
                <w:rFonts w:hint="eastAsia"/>
                <w:kern w:val="0"/>
                <w:sz w:val="24"/>
                <w:szCs w:val="24"/>
              </w:rPr>
              <w:t>至少包含对项目技术需求的理解，政府网站集约化工作要求，对重难点进行全面可行分析，运维服务主要内容、运维服务人员、运维服务响应方式和时间等内容</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2</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应急处置措施评价</w:t>
            </w:r>
          </w:p>
        </w:tc>
        <w:tc>
          <w:tcPr>
            <w:tcW w:w="7314" w:type="dxa"/>
            <w:gridSpan w:val="2"/>
            <w:shd w:val="clear" w:color="auto" w:fill="auto"/>
            <w:vAlign w:val="center"/>
          </w:tcPr>
          <w:p>
            <w:pPr>
              <w:adjustRightInd w:val="0"/>
              <w:snapToGrid w:val="0"/>
              <w:rPr>
                <w:rFonts w:cs="宋体"/>
                <w:sz w:val="24"/>
                <w:szCs w:val="24"/>
                <w:lang w:val="zh-CN"/>
              </w:rPr>
            </w:pPr>
            <w:r>
              <w:rPr>
                <w:rFonts w:hint="eastAsia" w:cs="宋体"/>
                <w:sz w:val="24"/>
                <w:szCs w:val="24"/>
                <w:lang w:val="zh-CN"/>
              </w:rPr>
              <w:t>至少包含对突发事件的评估检测、情况分析、恢复措施、以及后续的处理工作等内容</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3</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项目质量控制及保证措施评价</w:t>
            </w:r>
          </w:p>
        </w:tc>
        <w:tc>
          <w:tcPr>
            <w:tcW w:w="7314" w:type="dxa"/>
            <w:gridSpan w:val="2"/>
            <w:shd w:val="clear" w:color="auto" w:fill="auto"/>
            <w:vAlign w:val="center"/>
          </w:tcPr>
          <w:p>
            <w:pPr>
              <w:adjustRightInd w:val="0"/>
              <w:snapToGrid w:val="0"/>
              <w:rPr>
                <w:rFonts w:cs="宋体"/>
                <w:sz w:val="24"/>
                <w:szCs w:val="24"/>
                <w:lang w:val="zh-CN"/>
              </w:rPr>
            </w:pPr>
            <w:r>
              <w:rPr>
                <w:rFonts w:hint="eastAsia" w:cs="宋体"/>
                <w:sz w:val="24"/>
                <w:szCs w:val="24"/>
                <w:lang w:val="zh-CN"/>
              </w:rPr>
              <w:t>至少包含服务质量目标、质量控制措施、质量保证措施等</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4</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安全和风险管理方案评价</w:t>
            </w:r>
          </w:p>
        </w:tc>
        <w:tc>
          <w:tcPr>
            <w:tcW w:w="7314" w:type="dxa"/>
            <w:gridSpan w:val="2"/>
            <w:shd w:val="clear" w:color="auto" w:fill="auto"/>
            <w:vAlign w:val="center"/>
          </w:tcPr>
          <w:p>
            <w:pPr>
              <w:adjustRightInd w:val="0"/>
              <w:snapToGrid w:val="0"/>
              <w:rPr>
                <w:rFonts w:cs="宋体"/>
                <w:sz w:val="24"/>
                <w:szCs w:val="24"/>
                <w:lang w:val="zh-CN"/>
              </w:rPr>
            </w:pPr>
            <w:r>
              <w:rPr>
                <w:rFonts w:hint="eastAsia" w:cs="宋体"/>
                <w:sz w:val="24"/>
                <w:szCs w:val="24"/>
                <w:lang w:val="zh-CN"/>
              </w:rPr>
              <w:t>至少包含全部项目进度风险管理、项目协作沟通风险、评估工作引入风险。提供对实施人员的行为管理，项目实施期间信息系统及信息资源安全保障措施，安全和风险预测机制、预案和控制措施</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5</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售后服务方案评价</w:t>
            </w:r>
          </w:p>
        </w:tc>
        <w:tc>
          <w:tcPr>
            <w:tcW w:w="7314" w:type="dxa"/>
            <w:gridSpan w:val="2"/>
            <w:shd w:val="clear" w:color="auto" w:fill="auto"/>
            <w:vAlign w:val="center"/>
          </w:tcPr>
          <w:p>
            <w:pPr>
              <w:adjustRightInd w:val="0"/>
              <w:snapToGrid w:val="0"/>
              <w:rPr>
                <w:rFonts w:cs="宋体"/>
                <w:sz w:val="24"/>
                <w:szCs w:val="24"/>
                <w:lang w:val="zh-CN"/>
              </w:rPr>
            </w:pPr>
            <w:r>
              <w:rPr>
                <w:rFonts w:hint="eastAsia" w:cs="宋体"/>
                <w:sz w:val="24"/>
                <w:szCs w:val="24"/>
                <w:lang w:val="zh-CN"/>
              </w:rPr>
              <w:t>至少包含售后服务的内容、售后服务人员、售后服务的响应方式和时间等内容</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6</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保密管理措施评价</w:t>
            </w:r>
          </w:p>
        </w:tc>
        <w:tc>
          <w:tcPr>
            <w:tcW w:w="7314" w:type="dxa"/>
            <w:gridSpan w:val="2"/>
            <w:shd w:val="clear" w:color="auto" w:fill="auto"/>
            <w:vAlign w:val="center"/>
          </w:tcPr>
          <w:p>
            <w:pPr>
              <w:adjustRightInd w:val="0"/>
              <w:snapToGrid w:val="0"/>
              <w:rPr>
                <w:rFonts w:cs="宋体"/>
                <w:sz w:val="24"/>
                <w:szCs w:val="24"/>
                <w:lang w:val="zh-CN"/>
              </w:rPr>
            </w:pPr>
            <w:r>
              <w:rPr>
                <w:rFonts w:hint="eastAsia" w:cs="宋体"/>
                <w:sz w:val="24"/>
                <w:szCs w:val="24"/>
                <w:lang w:val="zh-CN"/>
              </w:rPr>
              <w:t>至少包含人员保密措施、文件保密措施、项目实施过程中的保密措施等</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6"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7</w:t>
            </w:r>
          </w:p>
        </w:tc>
        <w:tc>
          <w:tcPr>
            <w:tcW w:w="1396" w:type="dxa"/>
            <w:shd w:val="clear" w:color="auto" w:fill="auto"/>
            <w:vAlign w:val="center"/>
          </w:tcPr>
          <w:p>
            <w:pPr>
              <w:autoSpaceDE w:val="0"/>
              <w:autoSpaceDN w:val="0"/>
              <w:adjustRightInd w:val="0"/>
              <w:jc w:val="center"/>
              <w:rPr>
                <w:rFonts w:ascii="宋体" w:hAnsi="宋体" w:eastAsiaTheme="minorEastAsia"/>
                <w:kern w:val="0"/>
                <w:sz w:val="24"/>
              </w:rPr>
            </w:pPr>
            <w:r>
              <w:rPr>
                <w:rFonts w:hint="eastAsia" w:ascii="宋体" w:hAnsi="宋体" w:eastAsiaTheme="minorEastAsia"/>
                <w:kern w:val="0"/>
                <w:sz w:val="24"/>
              </w:rPr>
              <w:t>项目培训方案评价</w:t>
            </w:r>
          </w:p>
        </w:tc>
        <w:tc>
          <w:tcPr>
            <w:tcW w:w="7314" w:type="dxa"/>
            <w:gridSpan w:val="2"/>
            <w:shd w:val="clear" w:color="auto" w:fill="auto"/>
            <w:vAlign w:val="center"/>
          </w:tcPr>
          <w:p>
            <w:pPr>
              <w:adjustRightInd w:val="0"/>
              <w:snapToGrid w:val="0"/>
              <w:rPr>
                <w:rFonts w:cs="宋体"/>
                <w:sz w:val="24"/>
                <w:szCs w:val="24"/>
                <w:lang w:val="zh-CN"/>
              </w:rPr>
            </w:pPr>
            <w:r>
              <w:rPr>
                <w:rFonts w:hint="eastAsia" w:cs="宋体"/>
                <w:sz w:val="24"/>
                <w:szCs w:val="24"/>
                <w:lang w:val="zh-CN"/>
              </w:rPr>
              <w:t>至少包含培训目标、培训范围、培训方式等内容</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pPr>
              <w:widowControl/>
              <w:adjustRightInd w:val="0"/>
              <w:snapToGrid w:val="0"/>
              <w:jc w:val="center"/>
              <w:rPr>
                <w:kern w:val="0"/>
                <w:sz w:val="24"/>
                <w:szCs w:val="24"/>
              </w:rPr>
            </w:pPr>
            <w:r>
              <w:rPr>
                <w:rFonts w:hint="eastAsia"/>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6" w:type="dxa"/>
            <w:gridSpan w:val="4"/>
            <w:shd w:val="clear" w:color="auto" w:fill="auto"/>
            <w:noWrap/>
            <w:vAlign w:val="center"/>
          </w:tcPr>
          <w:p>
            <w:pPr>
              <w:widowControl/>
              <w:adjustRightInd w:val="0"/>
              <w:snapToGrid w:val="0"/>
              <w:jc w:val="center"/>
              <w:rPr>
                <w:sz w:val="24"/>
              </w:rPr>
            </w:pPr>
            <w:r>
              <w:rPr>
                <w:sz w:val="24"/>
              </w:rPr>
              <w:t>合计</w:t>
            </w:r>
          </w:p>
        </w:tc>
        <w:tc>
          <w:tcPr>
            <w:tcW w:w="1140" w:type="dxa"/>
            <w:shd w:val="clear" w:color="auto" w:fill="auto"/>
            <w:vAlign w:val="center"/>
          </w:tcPr>
          <w:p>
            <w:pPr>
              <w:widowControl/>
              <w:adjustRightInd w:val="0"/>
              <w:snapToGrid w:val="0"/>
              <w:jc w:val="center"/>
              <w:rPr>
                <w:kern w:val="0"/>
                <w:sz w:val="24"/>
                <w:szCs w:val="24"/>
              </w:rPr>
            </w:pPr>
            <w:r>
              <w:rPr>
                <w:kern w:val="0"/>
                <w:sz w:val="24"/>
                <w:szCs w:val="24"/>
              </w:rPr>
              <w:t>100</w:t>
            </w:r>
          </w:p>
        </w:tc>
      </w:tr>
    </w:tbl>
    <w:p>
      <w:pPr>
        <w:spacing w:line="360" w:lineRule="auto"/>
        <w:ind w:firstLine="480" w:firstLineChars="200"/>
        <w:outlineLvl w:val="0"/>
        <w:rPr>
          <w:sz w:val="24"/>
        </w:rPr>
      </w:pPr>
      <w:r>
        <w:rPr>
          <w:sz w:val="24"/>
        </w:rPr>
        <w:t>四、投标文件内容要求</w:t>
      </w:r>
    </w:p>
    <w:p>
      <w:pPr>
        <w:spacing w:line="360" w:lineRule="auto"/>
        <w:ind w:firstLine="480"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80"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ind w:firstLine="480" w:firstLineChars="200"/>
        <w:outlineLvl w:val="0"/>
        <w:rPr>
          <w:sz w:val="24"/>
        </w:rPr>
      </w:pPr>
    </w:p>
    <w:p>
      <w:pPr>
        <w:spacing w:line="360" w:lineRule="auto"/>
        <w:ind w:firstLine="480" w:firstLineChars="200"/>
        <w:outlineLvl w:val="0"/>
        <w:rPr>
          <w:sz w:val="24"/>
        </w:rPr>
      </w:pPr>
    </w:p>
    <w:p>
      <w:pPr>
        <w:spacing w:line="360" w:lineRule="auto"/>
        <w:jc w:val="center"/>
        <w:rPr>
          <w:b/>
          <w:sz w:val="24"/>
        </w:rPr>
      </w:pPr>
      <w:r>
        <w:rPr>
          <w:sz w:val="24"/>
          <w:u w:val="single"/>
        </w:rPr>
        <w:br w:type="page"/>
      </w:r>
      <w:r>
        <w:rPr>
          <w:b/>
          <w:sz w:val="24"/>
        </w:rPr>
        <w:t>项目需求书</w:t>
      </w:r>
    </w:p>
    <w:p>
      <w:pPr>
        <w:widowControl/>
        <w:ind w:firstLine="480" w:firstLineChars="200"/>
        <w:jc w:val="left"/>
        <w:rPr>
          <w:sz w:val="24"/>
        </w:rPr>
      </w:pPr>
      <w:r>
        <w:rPr>
          <w:rFonts w:hint="eastAsia"/>
          <w:sz w:val="24"/>
        </w:rPr>
        <w:t>一、项目背景</w:t>
      </w:r>
    </w:p>
    <w:p>
      <w:pPr>
        <w:widowControl/>
        <w:spacing w:line="360" w:lineRule="auto"/>
        <w:ind w:firstLine="480" w:firstLineChars="200"/>
        <w:jc w:val="left"/>
        <w:rPr>
          <w:sz w:val="24"/>
        </w:rPr>
      </w:pPr>
      <w:r>
        <w:rPr>
          <w:rFonts w:hint="eastAsia"/>
          <w:sz w:val="24"/>
        </w:rPr>
        <w:t>天津市政府网站集约化平台依托市政务云平台，按照“统一标准体系、统一技术平台、统一安全防护、统一运维监管，集中管理信息数据，集中提供内容服务”的标准进行建设，平台承载了市政府门户网站、40家市级政府部门网站和15个区政府门户网站（滨海新区自建集约化平台），统一提供内容管理、资源管理、政务公开、智能搜索、互动交流、行为分析、监控预警、安全防护等功能服务，实现了市区两级政府网站资源优化融合、平台整合安全、数据互认共享、管理统筹规范、服务便捷高效，提升了我市政府网站为民服务能力和整体安全防护能力。</w:t>
      </w:r>
    </w:p>
    <w:p>
      <w:pPr>
        <w:widowControl/>
        <w:spacing w:line="360" w:lineRule="auto"/>
        <w:ind w:firstLine="480" w:firstLineChars="200"/>
        <w:jc w:val="left"/>
        <w:rPr>
          <w:sz w:val="24"/>
        </w:rPr>
      </w:pPr>
      <w:r>
        <w:rPr>
          <w:rFonts w:hint="eastAsia"/>
          <w:sz w:val="24"/>
        </w:rPr>
        <w:t>为保障市政府网站集约化平台及承载政府网站安全稳定运行，进一步提高集约化平台和政府网站的功能水平，需持续开展市政府网站集约化平台及网站运维服务。</w:t>
      </w:r>
    </w:p>
    <w:p>
      <w:pPr>
        <w:widowControl/>
        <w:ind w:firstLine="480" w:firstLineChars="200"/>
        <w:jc w:val="left"/>
        <w:rPr>
          <w:sz w:val="24"/>
        </w:rPr>
      </w:pPr>
      <w:r>
        <w:rPr>
          <w:rFonts w:hint="eastAsia"/>
          <w:sz w:val="24"/>
        </w:rPr>
        <w:t>本项目属于软件和信息技术服务业</w:t>
      </w:r>
    </w:p>
    <w:p>
      <w:pPr>
        <w:widowControl/>
        <w:spacing w:line="360" w:lineRule="auto"/>
        <w:ind w:firstLine="480" w:firstLineChars="200"/>
        <w:jc w:val="left"/>
        <w:rPr>
          <w:sz w:val="24"/>
        </w:rPr>
      </w:pPr>
      <w:r>
        <w:rPr>
          <w:rFonts w:hint="eastAsia"/>
          <w:sz w:val="24"/>
        </w:rPr>
        <w:t>二、技术需求</w:t>
      </w:r>
    </w:p>
    <w:p>
      <w:pPr>
        <w:widowControl/>
        <w:spacing w:line="360" w:lineRule="auto"/>
        <w:ind w:firstLine="480" w:firstLineChars="200"/>
        <w:jc w:val="left"/>
        <w:rPr>
          <w:sz w:val="24"/>
        </w:rPr>
      </w:pPr>
      <w:r>
        <w:rPr>
          <w:rFonts w:hint="eastAsia"/>
          <w:sz w:val="24"/>
        </w:rPr>
        <w:t>（一）41家市级网站运维技术需求</w:t>
      </w:r>
    </w:p>
    <w:p>
      <w:pPr>
        <w:widowControl/>
        <w:spacing w:line="360" w:lineRule="auto"/>
        <w:ind w:firstLine="480" w:firstLineChars="200"/>
        <w:jc w:val="left"/>
        <w:rPr>
          <w:sz w:val="24"/>
        </w:rPr>
      </w:pPr>
      <w:r>
        <w:rPr>
          <w:rFonts w:hint="eastAsia"/>
          <w:sz w:val="24"/>
        </w:rPr>
        <w:t>对集约化平台承载的政府网站提供网站运维。包括网站巡检、智能检索维护、政府信息公开功能维护、政民互动维护等工作；对网站日常调整进行需求分析、网站Logo设计、页面设计、站内数据迁移、模板维护、实施和测试工作。根据国家和本市统一要求，及各单位个性化工作需求，提供不超过41个网站专题的建设（需重新设计的新增专题）。根据运维方案进行事件、问题、变更等的管理，为政府用户提供7*24小时技术支持，用户赋权、系统使用指导等工作。详细如下：</w:t>
      </w:r>
    </w:p>
    <w:tbl>
      <w:tblPr>
        <w:tblStyle w:val="21"/>
        <w:tblW w:w="8257" w:type="dxa"/>
        <w:jc w:val="center"/>
        <w:tblLayout w:type="autofit"/>
        <w:tblCellMar>
          <w:top w:w="0" w:type="dxa"/>
          <w:left w:w="108" w:type="dxa"/>
          <w:bottom w:w="0" w:type="dxa"/>
          <w:right w:w="108" w:type="dxa"/>
        </w:tblCellMar>
      </w:tblPr>
      <w:tblGrid>
        <w:gridCol w:w="946"/>
        <w:gridCol w:w="1493"/>
        <w:gridCol w:w="1469"/>
        <w:gridCol w:w="4349"/>
      </w:tblGrid>
      <w:tr>
        <w:tblPrEx>
          <w:tblCellMar>
            <w:top w:w="0" w:type="dxa"/>
            <w:left w:w="108" w:type="dxa"/>
            <w:bottom w:w="0" w:type="dxa"/>
            <w:right w:w="108" w:type="dxa"/>
          </w:tblCellMar>
        </w:tblPrEx>
        <w:trPr>
          <w:trHeight w:val="600" w:hRule="atLeast"/>
          <w:tblHeader/>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工作类别</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工作项</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工作描述</w:t>
            </w:r>
          </w:p>
        </w:tc>
      </w:tr>
      <w:tr>
        <w:tblPrEx>
          <w:tblCellMar>
            <w:top w:w="0" w:type="dxa"/>
            <w:left w:w="108" w:type="dxa"/>
            <w:bottom w:w="0" w:type="dxa"/>
            <w:right w:w="108" w:type="dxa"/>
          </w:tblCellMar>
        </w:tblPrEx>
        <w:trPr>
          <w:trHeight w:val="5940"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41家网站</w:t>
            </w:r>
          </w:p>
          <w:p>
            <w:pPr>
              <w:pStyle w:val="6"/>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基础运维</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门户网站、市级部门网站运维</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提供41家政府网站的运维服务。</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1.提供网站的账户、VPN账户维护及调整、权限维护及调整。</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2.提供41家政府网站日常运维的支持服务。包括现场、电话、在线途径接收各部门运维事件，进行问题解答、技术支持、平台使用培训等。</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3.提供网站的定期巡检服务。</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根据巡检计划（每周一次）和关键检查点，安排专人巡检网站PC端和移动端，填写巡检记录单并同步给客户，发现问题及时整改。</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3.提供整体运维工作的报告服务，包括提供周报、月报、季报、年报。</w:t>
            </w:r>
          </w:p>
        </w:tc>
      </w:tr>
      <w:tr>
        <w:tblPrEx>
          <w:tblCellMar>
            <w:top w:w="0" w:type="dxa"/>
            <w:left w:w="108" w:type="dxa"/>
            <w:bottom w:w="0" w:type="dxa"/>
            <w:right w:w="108" w:type="dxa"/>
          </w:tblCellMar>
        </w:tblPrEx>
        <w:trPr>
          <w:trHeight w:val="8160"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网站开发</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运维</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网站模板</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维护及开发</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根据国办要求、天津市政府的要求、网站所属单位要求提供网站模板维护服务，涉及41家网站PC端和移动适配页面，支持手机端H5和津心办同步展示。服务内容如下：</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1.提供每季度结合网站考核打分情况改进网站。</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2.提供网站建设规划</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基于原有栏目架构，根据国办要求和天津市政府网站要求，进行栏目的重新规划，并明确各栏目的相关属性及功能。</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3.提供网站页面设计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（1）logo 设计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（2）配色及元素设计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（3）原型规划</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4.提供切图服务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5.提供网站实施服务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（1）栏目建设、用户及权限建设。</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（2）模板页面嵌套。</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（3）实施工作中，遵守天津市政府网站集约化建设标准规范。</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6.提供数据迁移服务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（1）数据迁移</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（2）确保数据的无损和使用顺畅</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7.提供网站测试服务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需要在生产环境中和备份环境中进行测试，测试内容如下：</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（1）样式测试</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（2）可用性测试</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（3）功能测试</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（4）效率测试</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（5）兼容性测试等</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 xml:space="preserve">8.提供网站部署服务 </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需要在生产环境中和备份环境中进行部署，部署后要求进行测试，如发现问题需撤回版本并改进。</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 xml:space="preserve"> (4)登记归档</w:t>
            </w:r>
          </w:p>
        </w:tc>
      </w:tr>
      <w:tr>
        <w:tblPrEx>
          <w:tblCellMar>
            <w:top w:w="0" w:type="dxa"/>
            <w:left w:w="108" w:type="dxa"/>
            <w:bottom w:w="0" w:type="dxa"/>
            <w:right w:w="108" w:type="dxa"/>
          </w:tblCellMar>
        </w:tblPrEx>
        <w:trPr>
          <w:trHeight w:val="3630"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w:t>
            </w: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网站专题/专栏建设</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根据国办要求、天津市政府的要求、网站所属单位要求提供不超过41个专题建设服务,专题需要兼顾pc端、移动端H5等终端设备的自适应显示。服务内容包括：</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1.提供栏目规划、页面规划、网站建设规划服务；</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2.提供网站页面、logo等设计服务；</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3.提供模板制作服务；</w:t>
            </w:r>
          </w:p>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4.提供数据迁移服务；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5.提供个性化定制、场景服务。</w:t>
            </w:r>
          </w:p>
        </w:tc>
      </w:tr>
    </w:tbl>
    <w:p>
      <w:pPr>
        <w:widowControl/>
        <w:spacing w:line="360" w:lineRule="auto"/>
        <w:ind w:firstLine="360" w:firstLineChars="150"/>
        <w:jc w:val="left"/>
        <w:rPr>
          <w:sz w:val="24"/>
        </w:rPr>
      </w:pPr>
      <w:r>
        <w:rPr>
          <w:rFonts w:hint="eastAsia"/>
          <w:sz w:val="24"/>
        </w:rPr>
        <w:t>（二）安全运维技术需求</w:t>
      </w:r>
    </w:p>
    <w:p>
      <w:pPr>
        <w:widowControl/>
        <w:spacing w:line="360" w:lineRule="auto"/>
        <w:ind w:firstLine="480" w:firstLineChars="200"/>
        <w:jc w:val="left"/>
        <w:rPr>
          <w:sz w:val="24"/>
        </w:rPr>
      </w:pPr>
      <w:r>
        <w:rPr>
          <w:rFonts w:hint="eastAsia"/>
          <w:sz w:val="24"/>
        </w:rPr>
        <w:t>天津市政府网站集约化平台及政府网站部署在市政务云公共区和互联网区，应基于集约化平台及政府网站现有部署架构，对集约化平台及政府网站提供安全保障服务和安全运营服务，保障集约化平台安全稳定运行。针对网站周期性高峰和低谷运行特征，所采用安全服务工具应为虚拟化安全资源池架构构建，实现安全资源的集中管控、动态调整、关键设备冗余部署。</w:t>
      </w:r>
    </w:p>
    <w:p>
      <w:pPr>
        <w:widowControl/>
        <w:spacing w:line="360" w:lineRule="auto"/>
        <w:ind w:firstLine="480" w:firstLineChars="200"/>
        <w:jc w:val="left"/>
        <w:rPr>
          <w:sz w:val="24"/>
        </w:rPr>
      </w:pPr>
      <w:r>
        <w:rPr>
          <w:rFonts w:hint="eastAsia"/>
          <w:sz w:val="24"/>
        </w:rPr>
        <w:t>安全保障服务包括：防火墙服务、主机安全服务、堡垒机服务、数据库审计服务、Web防篡改、综合日志审计服务、综合漏洞扫描服务、Web云防护（SaaS）、网站云监测。安全运营服务包括：基础环境评估（每月一次漏洞扫描、每周一次主机查杀）、渗透测试（每年一次）、安全检查和加固、重保时期安全保障、数据异地备份和平台备份环境的运维等安全服务。详细如下：</w:t>
      </w:r>
    </w:p>
    <w:tbl>
      <w:tblPr>
        <w:tblStyle w:val="21"/>
        <w:tblW w:w="8105" w:type="dxa"/>
        <w:tblInd w:w="0" w:type="dxa"/>
        <w:tblLayout w:type="fixed"/>
        <w:tblCellMar>
          <w:top w:w="0" w:type="dxa"/>
          <w:left w:w="108" w:type="dxa"/>
          <w:bottom w:w="0" w:type="dxa"/>
          <w:right w:w="108" w:type="dxa"/>
        </w:tblCellMar>
      </w:tblPr>
      <w:tblGrid>
        <w:gridCol w:w="736"/>
        <w:gridCol w:w="1203"/>
        <w:gridCol w:w="898"/>
        <w:gridCol w:w="5257"/>
        <w:gridCol w:w="11"/>
      </w:tblGrid>
      <w:tr>
        <w:tblPrEx>
          <w:tblCellMar>
            <w:top w:w="0" w:type="dxa"/>
            <w:left w:w="108" w:type="dxa"/>
            <w:bottom w:w="0" w:type="dxa"/>
            <w:right w:w="108" w:type="dxa"/>
          </w:tblCellMar>
        </w:tblPrEx>
        <w:trPr>
          <w:trHeight w:val="300" w:hRule="atLeast"/>
          <w:tblHeader/>
        </w:trPr>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序号</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服务类别</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服务项</w:t>
            </w:r>
          </w:p>
        </w:tc>
        <w:tc>
          <w:tcPr>
            <w:tcW w:w="5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服务要求</w:t>
            </w:r>
          </w:p>
        </w:tc>
      </w:tr>
      <w:tr>
        <w:tblPrEx>
          <w:tblCellMar>
            <w:top w:w="0" w:type="dxa"/>
            <w:left w:w="108" w:type="dxa"/>
            <w:bottom w:w="0" w:type="dxa"/>
            <w:right w:w="108" w:type="dxa"/>
          </w:tblCellMar>
        </w:tblPrEx>
        <w:trPr>
          <w:trHeight w:val="600"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防火墙服务</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一年智慧防火墙服务，包括应用控制、URL过滤、病毒防护、入侵防御、威胁情报检测等，涉及政务云公共区和互联网区2个安全区。默认含：一年升级许可服务，包含系统升级服务、应用识别升级服务、URL过滤库升级服务。授权数量大于等于130个，部署数量满足用户实际需求。</w:t>
            </w:r>
          </w:p>
        </w:tc>
      </w:tr>
      <w:tr>
        <w:tblPrEx>
          <w:tblCellMar>
            <w:top w:w="0" w:type="dxa"/>
            <w:left w:w="108" w:type="dxa"/>
            <w:bottom w:w="0" w:type="dxa"/>
            <w:right w:w="108" w:type="dxa"/>
          </w:tblCellMar>
        </w:tblPrEx>
        <w:trPr>
          <w:trHeight w:val="9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要求智慧防火墙服务能力不低于以下要求</w:t>
            </w:r>
          </w:p>
          <w:p>
            <w:pPr>
              <w:widowControl/>
              <w:jc w:val="left"/>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1.网络层吞吐量≥2.5Gbps</w:t>
            </w:r>
          </w:p>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2.最大并发连接数≥2000000</w:t>
            </w:r>
          </w:p>
        </w:tc>
      </w:tr>
      <w:tr>
        <w:tblPrEx>
          <w:tblCellMar>
            <w:top w:w="0" w:type="dxa"/>
            <w:left w:w="108" w:type="dxa"/>
            <w:bottom w:w="0" w:type="dxa"/>
            <w:right w:w="108" w:type="dxa"/>
          </w:tblCellMar>
        </w:tblPrEx>
        <w:trPr>
          <w:trHeight w:val="12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攻击防护：对异常包攻击防御进行检测，异常包攻击类型至少包括Ping of Death、Teardrop、IP选项、TCP异常、Smurf、Fraggle、Land、Winnuke、DNS异常、IP分片等；出具每种攻击类型的丢包统计结果。</w:t>
            </w:r>
          </w:p>
        </w:tc>
      </w:tr>
      <w:tr>
        <w:tblPrEx>
          <w:tblCellMar>
            <w:top w:w="0" w:type="dxa"/>
            <w:left w:w="108" w:type="dxa"/>
            <w:bottom w:w="0" w:type="dxa"/>
            <w:right w:w="108" w:type="dxa"/>
          </w:tblCellMar>
        </w:tblPrEx>
        <w:trPr>
          <w:trHeight w:val="15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漏洞防护：针对高危漏洞进行定期检查，至少要包括“永恒之蓝”、“震网三代”、“暗云3”、“Struts”、“Struts2”、“Xshell后门代码”以及对应的攻击的名称、CVEID、CNNVDID、CWEID、严重性、影响的平台、类型、描述、解决方案建议等（CVEID、CNNDID、CWEID等信息在漏洞攻击特征中体现）详细信息</w:t>
            </w:r>
          </w:p>
        </w:tc>
      </w:tr>
      <w:tr>
        <w:tblPrEx>
          <w:tblCellMar>
            <w:top w:w="0" w:type="dxa"/>
            <w:left w:w="108" w:type="dxa"/>
            <w:bottom w:w="0" w:type="dxa"/>
            <w:right w:w="108" w:type="dxa"/>
          </w:tblCellMar>
        </w:tblPrEx>
        <w:trPr>
          <w:trHeight w:val="15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流量解密：要求支持对IPv4和IPv6流量的HTTPS、POP3S、SMTPS、IMAPS协议进行解密，支持配置基于源安全域、目的安全域、源地址、目的地址、SSL协议服务的解密策略，并可同时基于安全域、IPv4和IPv6地址进行例外设置动作，可以设置解密或不解密，同时支持将解密后流量镜像到其他设备进行分析统计</w:t>
            </w:r>
          </w:p>
        </w:tc>
      </w:tr>
      <w:tr>
        <w:tblPrEx>
          <w:tblCellMar>
            <w:top w:w="0" w:type="dxa"/>
            <w:left w:w="108" w:type="dxa"/>
            <w:bottom w:w="0" w:type="dxa"/>
            <w:right w:w="108" w:type="dxa"/>
          </w:tblCellMar>
        </w:tblPrEx>
        <w:trPr>
          <w:trHeight w:val="900"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主机安全服务</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针对虚拟化主机提供一年安全轻代理防护服务；含防病毒、主机防火墙、主机入侵防御、虚拟化加固、主机加固、webshell检测等安全服务。默认含：一年升级许可；包含系统升级服务、病毒库升级服务、规则库升级服务。授权数量大于等于130个，授权数量以用户实际需求为准。</w:t>
            </w:r>
          </w:p>
        </w:tc>
      </w:tr>
      <w:tr>
        <w:tblPrEx>
          <w:tblCellMar>
            <w:top w:w="0" w:type="dxa"/>
            <w:left w:w="108" w:type="dxa"/>
            <w:bottom w:w="0" w:type="dxa"/>
            <w:right w:w="108" w:type="dxa"/>
          </w:tblCellMar>
        </w:tblPrEx>
        <w:trPr>
          <w:trHeight w:val="9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防火墙防护服务：可对虚拟机/终端系统进行双向控制并对威胁情报实检测出的失陷主机提供监控及阻止失陷主机与恶意域名连接的能力。</w:t>
            </w:r>
          </w:p>
        </w:tc>
      </w:tr>
      <w:tr>
        <w:tblPrEx>
          <w:tblCellMar>
            <w:top w:w="0" w:type="dxa"/>
            <w:left w:w="108" w:type="dxa"/>
            <w:bottom w:w="0" w:type="dxa"/>
            <w:right w:w="108" w:type="dxa"/>
          </w:tblCellMar>
        </w:tblPrEx>
        <w:trPr>
          <w:trHeight w:val="12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安全状态监控服务：以看板形式，实时展示安全事件、高危漏洞、防恶意软件、完整性监控、失陷主机事件、防暴力破解、webshell事件、应用程序控制事件、入侵防御事件、安全基线事件、安全雷达等威胁事件。</w:t>
            </w:r>
          </w:p>
        </w:tc>
      </w:tr>
      <w:tr>
        <w:tblPrEx>
          <w:tblCellMar>
            <w:top w:w="0" w:type="dxa"/>
            <w:left w:w="108" w:type="dxa"/>
            <w:bottom w:w="0" w:type="dxa"/>
            <w:right w:w="108" w:type="dxa"/>
          </w:tblCellMar>
        </w:tblPrEx>
        <w:trPr>
          <w:trHeight w:val="9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主机安全缺陷扫描评估服务：对主机安全情况进行扫描，评估内容包括操作系统上的账号、服务、安全参数、进程、配置等，并输出评估报告。</w:t>
            </w:r>
          </w:p>
        </w:tc>
      </w:tr>
      <w:tr>
        <w:tblPrEx>
          <w:tblCellMar>
            <w:top w:w="0" w:type="dxa"/>
            <w:left w:w="108" w:type="dxa"/>
            <w:bottom w:w="0" w:type="dxa"/>
            <w:right w:w="108" w:type="dxa"/>
          </w:tblCellMar>
        </w:tblPrEx>
        <w:trPr>
          <w:trHeight w:val="600"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堡垒机服务</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提供一年虚拟化运维安全管理与审计服务，配置与平台资产数量一致的管理授权，管理资产包括服务器、数据库、网络设备等，默认含一年升级更新服务。授权数量大于等于130个，授权数量以用户实际需求为准。</w:t>
            </w:r>
          </w:p>
        </w:tc>
      </w:tr>
      <w:tr>
        <w:tblPrEx>
          <w:tblCellMar>
            <w:top w:w="0" w:type="dxa"/>
            <w:left w:w="108" w:type="dxa"/>
            <w:bottom w:w="0" w:type="dxa"/>
            <w:right w:w="108" w:type="dxa"/>
          </w:tblCellMar>
        </w:tblPrEx>
        <w:trPr>
          <w:trHeight w:val="121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云主机资源批量导入服务：提供对现有云主机资源导入的服务，支持资源类别包括阿里云、百度云、华为云、腾讯云、Ucloud、AWS、Azure云平台等，并可以根据用户实际情况设置优先导入公网和内网IP设置，支持导入同时批量新建标签</w:t>
            </w:r>
            <w:r>
              <w:rPr>
                <w:rFonts w:ascii="Calibri" w:hAnsi="Calibri" w:eastAsia="仿宋_GB2312" w:cs="Calibri"/>
                <w:kern w:val="0"/>
                <w:sz w:val="22"/>
                <w:szCs w:val="22"/>
                <w:lang w:bidi="ar"/>
              </w:rPr>
              <w:t> </w:t>
            </w:r>
          </w:p>
        </w:tc>
      </w:tr>
      <w:tr>
        <w:tblPrEx>
          <w:tblCellMar>
            <w:top w:w="0" w:type="dxa"/>
            <w:left w:w="108" w:type="dxa"/>
            <w:bottom w:w="0" w:type="dxa"/>
            <w:right w:w="108" w:type="dxa"/>
          </w:tblCellMar>
        </w:tblPrEx>
        <w:trPr>
          <w:trHeight w:val="12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用户认证服务：对安全运维人员的登录提供多种认证方式组合服务，例如使用AD域+手机短信、AD域+Radius认证、Radius认证+手机令牌等多种组合方式登录，可以按用户访问的源IP地址进行不同的认证方式</w:t>
            </w:r>
          </w:p>
        </w:tc>
      </w:tr>
      <w:tr>
        <w:tblPrEx>
          <w:tblCellMar>
            <w:top w:w="0" w:type="dxa"/>
            <w:left w:w="108" w:type="dxa"/>
            <w:bottom w:w="0" w:type="dxa"/>
            <w:right w:w="108" w:type="dxa"/>
          </w:tblCellMar>
        </w:tblPrEx>
        <w:trPr>
          <w:trHeight w:val="92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敏感数据加密服务：支持对部门设置AB段安全码，AB段安全码由2个管理员保管，可使用AB段安全码对导出的敏感数据进行加密，解密时需要2个管理员同时解密</w:t>
            </w:r>
          </w:p>
        </w:tc>
      </w:tr>
      <w:tr>
        <w:tblPrEx>
          <w:tblCellMar>
            <w:top w:w="0" w:type="dxa"/>
            <w:left w:w="108" w:type="dxa"/>
            <w:bottom w:w="0" w:type="dxa"/>
            <w:right w:w="108" w:type="dxa"/>
          </w:tblCellMar>
        </w:tblPrEx>
        <w:trPr>
          <w:trHeight w:val="416"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4</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数据库审计</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一年虚拟化数据库审计安全服务。配置与平台一致的数据库实例数，大于等于10个，配置数量以用户实际需求为准。对来自应用系统客户端和DBA对数据库的访问行为进行全面审计服务；提供详细记录查询、删除、增加、修改等行为及操作结果安全服务；对危险操作实时预警、及时阻止，达到保护数据库的效果。支持主流数据库类型：Oracle、SQL-Server、DB2、Informix、Sybase、MySQL、PostgreSQL。</w:t>
            </w:r>
          </w:p>
        </w:tc>
      </w:tr>
      <w:tr>
        <w:tblPrEx>
          <w:tblCellMar>
            <w:top w:w="0" w:type="dxa"/>
            <w:left w:w="108" w:type="dxa"/>
            <w:bottom w:w="0" w:type="dxa"/>
            <w:right w:w="108" w:type="dxa"/>
          </w:tblCellMar>
        </w:tblPrEx>
        <w:trPr>
          <w:trHeight w:val="31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支持大数据Hbase、solr、redis、MongoDB等数据库。</w:t>
            </w:r>
            <w:r>
              <w:rPr>
                <w:rFonts w:ascii="Calibri" w:hAnsi="Calibri" w:eastAsia="仿宋_GB2312" w:cs="Calibri"/>
                <w:kern w:val="0"/>
                <w:sz w:val="22"/>
                <w:szCs w:val="22"/>
                <w:lang w:bidi="ar"/>
              </w:rPr>
              <w:t> </w:t>
            </w:r>
          </w:p>
        </w:tc>
      </w:tr>
      <w:tr>
        <w:tblPrEx>
          <w:tblCellMar>
            <w:top w:w="0" w:type="dxa"/>
            <w:left w:w="108" w:type="dxa"/>
            <w:bottom w:w="0" w:type="dxa"/>
            <w:right w:w="108" w:type="dxa"/>
          </w:tblCellMar>
        </w:tblPrEx>
        <w:trPr>
          <w:trHeight w:val="12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集成工具服务：支持后关系型数据库Cache的集成工具Terminal、Portal、Studio、Sqlmanager、MedTrak工具的审计，其中Portal能审计到Sql语句、查询Global、返回结果，Terminal能审计到M语句和返回结果。</w:t>
            </w:r>
            <w:r>
              <w:rPr>
                <w:rFonts w:ascii="Calibri" w:hAnsi="Calibri" w:eastAsia="仿宋_GB2312" w:cs="Calibri"/>
                <w:kern w:val="0"/>
                <w:sz w:val="22"/>
                <w:szCs w:val="22"/>
                <w:lang w:bidi="ar"/>
              </w:rPr>
              <w:t> </w:t>
            </w:r>
          </w:p>
        </w:tc>
      </w:tr>
      <w:tr>
        <w:tblPrEx>
          <w:tblCellMar>
            <w:top w:w="0" w:type="dxa"/>
            <w:left w:w="108" w:type="dxa"/>
            <w:bottom w:w="0" w:type="dxa"/>
            <w:right w:w="108" w:type="dxa"/>
          </w:tblCellMar>
        </w:tblPrEx>
        <w:trPr>
          <w:trHeight w:val="6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支持Agent云解决方案,且Agent运行时CPU占用率低于3%，内存占用小于100M，程序文件小于2M，提供有效证据，并以实际测试证明。</w:t>
            </w:r>
          </w:p>
        </w:tc>
      </w:tr>
      <w:tr>
        <w:tblPrEx>
          <w:tblCellMar>
            <w:top w:w="0" w:type="dxa"/>
            <w:left w:w="108" w:type="dxa"/>
            <w:bottom w:w="0" w:type="dxa"/>
            <w:right w:w="108" w:type="dxa"/>
          </w:tblCellMar>
        </w:tblPrEx>
        <w:trPr>
          <w:trHeight w:val="9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审计服务：支持带COM、COM+、DCOM组件的三层架构应用审计，可提取包括应用层帐号、数据库帐号、操作系统用户名、客户端主机名、客户端IP、客户端MAC等身份信息，精确定位到人。</w:t>
            </w:r>
          </w:p>
        </w:tc>
      </w:tr>
      <w:tr>
        <w:tblPrEx>
          <w:tblCellMar>
            <w:top w:w="0" w:type="dxa"/>
            <w:left w:w="108" w:type="dxa"/>
            <w:bottom w:w="0" w:type="dxa"/>
            <w:right w:w="108" w:type="dxa"/>
          </w:tblCellMar>
        </w:tblPrEx>
        <w:trPr>
          <w:trHeight w:val="300"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5</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Web防篡改</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提供一年网页防篡改安全服务，默认含：一年升级更新服务。授权数量大于等于56个，以用户实际需求为准。</w:t>
            </w:r>
          </w:p>
        </w:tc>
      </w:tr>
      <w:tr>
        <w:tblPrEx>
          <w:tblCellMar>
            <w:top w:w="0" w:type="dxa"/>
            <w:left w:w="108" w:type="dxa"/>
            <w:bottom w:w="0" w:type="dxa"/>
            <w:right w:w="108" w:type="dxa"/>
          </w:tblCellMar>
        </w:tblPrEx>
        <w:trPr>
          <w:trHeight w:val="6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网页防篡改服务方式：文件过滤驱动保护技术、事件触发机制相结合</w:t>
            </w:r>
          </w:p>
        </w:tc>
      </w:tr>
      <w:tr>
        <w:tblPrEx>
          <w:tblCellMar>
            <w:top w:w="0" w:type="dxa"/>
            <w:left w:w="108" w:type="dxa"/>
            <w:bottom w:w="0" w:type="dxa"/>
            <w:right w:w="108" w:type="dxa"/>
          </w:tblCellMar>
        </w:tblPrEx>
        <w:trPr>
          <w:trHeight w:val="3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支持在断线情况下对网页文件目录的防护功能</w:t>
            </w:r>
          </w:p>
        </w:tc>
      </w:tr>
      <w:tr>
        <w:tblPrEx>
          <w:tblCellMar>
            <w:top w:w="0" w:type="dxa"/>
            <w:left w:w="108" w:type="dxa"/>
            <w:bottom w:w="0" w:type="dxa"/>
            <w:right w:w="108" w:type="dxa"/>
          </w:tblCellMar>
        </w:tblPrEx>
        <w:trPr>
          <w:trHeight w:val="6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目录文件防护服务：可对指定文件夹以及子文件夹的保护，避免上传非法文件及木马等恶意文件或插入恶意代码</w:t>
            </w:r>
          </w:p>
        </w:tc>
      </w:tr>
      <w:tr>
        <w:tblPrEx>
          <w:tblCellMar>
            <w:top w:w="0" w:type="dxa"/>
            <w:left w:w="108" w:type="dxa"/>
            <w:bottom w:w="0" w:type="dxa"/>
            <w:right w:w="108" w:type="dxa"/>
          </w:tblCellMar>
        </w:tblPrEx>
        <w:trPr>
          <w:trHeight w:val="600"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6</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综合日志审计</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一年虚拟化日志管理安全服务；包含对安全设备、操作系统、数据库、应用系统、网络设备的日志采集，并配置相对应的授权，默认含1年维保服务，包括日志收集、展示、存储服务。授权数量大于等于130个，以用户实际需求为准。</w:t>
            </w:r>
          </w:p>
        </w:tc>
      </w:tr>
      <w:tr>
        <w:tblPrEx>
          <w:tblCellMar>
            <w:top w:w="0" w:type="dxa"/>
            <w:left w:w="108" w:type="dxa"/>
            <w:bottom w:w="0" w:type="dxa"/>
            <w:right w:w="108" w:type="dxa"/>
          </w:tblCellMar>
        </w:tblPrEx>
        <w:trPr>
          <w:trHeight w:val="6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主机访问关系服务：根据云主机情况生成主机访问关系图谱关系图谱且支持无限级延伸，通过点击业务主机节点自动绘制访问关系</w:t>
            </w:r>
          </w:p>
        </w:tc>
      </w:tr>
      <w:tr>
        <w:tblPrEx>
          <w:tblCellMar>
            <w:top w:w="0" w:type="dxa"/>
            <w:left w:w="108" w:type="dxa"/>
            <w:bottom w:w="0" w:type="dxa"/>
            <w:right w:w="108" w:type="dxa"/>
          </w:tblCellMar>
        </w:tblPrEx>
        <w:trPr>
          <w:trHeight w:val="121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网络流量采集服务：提供ICMP、AMQP、Cassandra、DNS、HTTP、Memcache、MySQL、PgSQL、TNS、Redis、Thrift、MongoDB、NFS、TDS、Sybase、Drda、Dameng、POP、SMTP、达梦等流量的采集和解析服务；</w:t>
            </w:r>
            <w:r>
              <w:rPr>
                <w:rFonts w:ascii="Calibri" w:hAnsi="Calibri" w:eastAsia="仿宋_GB2312" w:cs="Calibri"/>
                <w:kern w:val="0"/>
                <w:sz w:val="22"/>
                <w:szCs w:val="22"/>
                <w:lang w:bidi="ar"/>
              </w:rPr>
              <w:t> </w:t>
            </w:r>
          </w:p>
        </w:tc>
      </w:tr>
      <w:tr>
        <w:tblPrEx>
          <w:tblCellMar>
            <w:top w:w="0" w:type="dxa"/>
            <w:left w:w="108" w:type="dxa"/>
            <w:bottom w:w="0" w:type="dxa"/>
            <w:right w:w="108" w:type="dxa"/>
          </w:tblCellMar>
        </w:tblPrEx>
        <w:trPr>
          <w:trHeight w:val="12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设备访问关系服务：以设备类型、应用类型、协议类型等信息为基础，梳理出设备、应用、协议等之间的访问关系，实时树立访问关系，并结合不同类型梳理出正常使用访问操作，非正常授权使用操作，支持导出使用操作报告。</w:t>
            </w:r>
          </w:p>
        </w:tc>
      </w:tr>
      <w:tr>
        <w:tblPrEx>
          <w:tblCellMar>
            <w:top w:w="0" w:type="dxa"/>
            <w:left w:w="108" w:type="dxa"/>
            <w:bottom w:w="0" w:type="dxa"/>
            <w:right w:w="108" w:type="dxa"/>
          </w:tblCellMar>
        </w:tblPrEx>
        <w:trPr>
          <w:trHeight w:val="600" w:hRule="atLeast"/>
        </w:trPr>
        <w:tc>
          <w:tcPr>
            <w:tcW w:w="73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7</w:t>
            </w:r>
          </w:p>
        </w:tc>
        <w:tc>
          <w:tcPr>
            <w:tcW w:w="120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综合漏洞扫描</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提供一年数据库漏洞扫描服务、系统漏洞扫描服务、WEB漏洞扫描服务、等保合规检查服务，含一年免费升级维保服务。授权数量大于等于130个，以用户实际需求为准。</w:t>
            </w:r>
          </w:p>
        </w:tc>
      </w:tr>
      <w:tr>
        <w:tblPrEx>
          <w:tblCellMar>
            <w:top w:w="0" w:type="dxa"/>
            <w:left w:w="108" w:type="dxa"/>
            <w:bottom w:w="0" w:type="dxa"/>
            <w:right w:w="108" w:type="dxa"/>
          </w:tblCellMar>
        </w:tblPrEx>
        <w:trPr>
          <w:trHeight w:val="1200"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弱口令检测服务：支持对中间件弱口令进行检测，包含但不限于：Tomcat、WebLogic、JBoss、WebSphere、GlassFish；Web弱口令，定期2个月对http、https类型的web弱口令进行检测并将检测结果以Excel、Word、HTML、PDF、XML等格式导出</w:t>
            </w:r>
          </w:p>
        </w:tc>
      </w:tr>
      <w:tr>
        <w:tblPrEx>
          <w:tblCellMar>
            <w:top w:w="0" w:type="dxa"/>
            <w:left w:w="108" w:type="dxa"/>
            <w:bottom w:w="0" w:type="dxa"/>
            <w:right w:w="108" w:type="dxa"/>
          </w:tblCellMar>
        </w:tblPrEx>
        <w:trPr>
          <w:trHeight w:val="900"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漏洞验证服务：支持180000条以上系统漏洞库，根据网络状况自适应控制发包速率，扫描出的漏洞通过浏览器、注入、通用方式进行验证</w:t>
            </w:r>
          </w:p>
        </w:tc>
      </w:tr>
      <w:tr>
        <w:tblPrEx>
          <w:tblCellMar>
            <w:top w:w="0" w:type="dxa"/>
            <w:left w:w="108" w:type="dxa"/>
            <w:bottom w:w="0" w:type="dxa"/>
            <w:right w:w="108" w:type="dxa"/>
          </w:tblCellMar>
        </w:tblPrEx>
        <w:trPr>
          <w:trHeight w:val="910"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提供快捷的任务下发方式，可以针对同一扫描目标同时下发系统、Web、弱口令扫描任务；能够输出同时包含系统、Web、弱口令扫描结果的综合脆弱性分析报告。</w:t>
            </w:r>
            <w:r>
              <w:rPr>
                <w:rFonts w:ascii="Calibri" w:hAnsi="Calibri" w:eastAsia="仿宋_GB2312" w:cs="Calibri"/>
                <w:kern w:val="0"/>
                <w:sz w:val="22"/>
                <w:szCs w:val="22"/>
                <w:lang w:bidi="ar"/>
              </w:rPr>
              <w:t> </w:t>
            </w:r>
          </w:p>
        </w:tc>
      </w:tr>
      <w:tr>
        <w:tblPrEx>
          <w:tblCellMar>
            <w:top w:w="0" w:type="dxa"/>
            <w:left w:w="108" w:type="dxa"/>
            <w:bottom w:w="0" w:type="dxa"/>
            <w:right w:w="108" w:type="dxa"/>
          </w:tblCellMar>
        </w:tblPrEx>
        <w:trPr>
          <w:trHeight w:val="600" w:hRule="atLeast"/>
        </w:trPr>
        <w:tc>
          <w:tcPr>
            <w:tcW w:w="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8</w:t>
            </w:r>
          </w:p>
        </w:tc>
        <w:tc>
          <w:tcPr>
            <w:tcW w:w="12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web云防护</w:t>
            </w: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以 SaaS 的方式为用户提供一年的网站安全防护服务，防护范围不超过80个域名，以用户实际需求为准。</w:t>
            </w:r>
          </w:p>
        </w:tc>
      </w:tr>
      <w:tr>
        <w:tblPrEx>
          <w:tblCellMar>
            <w:top w:w="0" w:type="dxa"/>
            <w:left w:w="108" w:type="dxa"/>
            <w:bottom w:w="0" w:type="dxa"/>
            <w:right w:w="108" w:type="dxa"/>
          </w:tblCellMar>
        </w:tblPrEx>
        <w:trPr>
          <w:trHeight w:val="3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支持对HTTPS网站防护（支持密算法证书接入和防护）、</w:t>
            </w:r>
          </w:p>
        </w:tc>
      </w:tr>
      <w:tr>
        <w:tblPrEx>
          <w:tblCellMar>
            <w:top w:w="0" w:type="dxa"/>
            <w:left w:w="108" w:type="dxa"/>
            <w:bottom w:w="0" w:type="dxa"/>
            <w:right w:w="108" w:type="dxa"/>
          </w:tblCellMar>
        </w:tblPrEx>
        <w:trPr>
          <w:trHeight w:val="9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提供以下服务：Web攻击防护、DDoS攻击防护、云加速、高防DNS、爬虫攻击防护、CC攻击防护，同时提供IPV4/IPV6服务。能识别和阻断SQL注入攻击、Cookie 注入攻击、命令注入、跨站脚本攻击、文件包含攻击、LDAP注入、XPATH注入、爬虫攻击、Struts2命令执行攻击等常见的WEB攻击，并防止网站敏感信息泄露。</w:t>
            </w:r>
          </w:p>
        </w:tc>
      </w:tr>
      <w:tr>
        <w:tblPrEx>
          <w:tblCellMar>
            <w:top w:w="0" w:type="dxa"/>
            <w:left w:w="108" w:type="dxa"/>
            <w:bottom w:w="0" w:type="dxa"/>
            <w:right w:w="108" w:type="dxa"/>
          </w:tblCellMar>
        </w:tblPrEx>
        <w:trPr>
          <w:trHeight w:val="600" w:hRule="atLeast"/>
        </w:trPr>
        <w:tc>
          <w:tcPr>
            <w:tcW w:w="7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支持重保只读功能。可以提前通过爬虫缓存用户网站页面文件，在重保期间即使源站服务器出现WEB攻击、网页被篡改、服务器宕机、网络线路故障、网站服务异常等问题，依然可以通过缓存页面强制对外提供完整的静态缓存页面访问服务。</w:t>
            </w:r>
          </w:p>
        </w:tc>
      </w:tr>
      <w:tr>
        <w:tblPrEx>
          <w:tblCellMar>
            <w:top w:w="0" w:type="dxa"/>
            <w:left w:w="108" w:type="dxa"/>
            <w:bottom w:w="0" w:type="dxa"/>
            <w:right w:w="108" w:type="dxa"/>
          </w:tblCellMar>
        </w:tblPrEx>
        <w:trPr>
          <w:trHeight w:val="600"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提供四份以上原厂商公开发布的专门针对网站安全相关安全研究报告。</w:t>
            </w:r>
          </w:p>
        </w:tc>
      </w:tr>
      <w:tr>
        <w:tblPrEx>
          <w:tblCellMar>
            <w:top w:w="0" w:type="dxa"/>
            <w:left w:w="108" w:type="dxa"/>
            <w:bottom w:w="0" w:type="dxa"/>
            <w:right w:w="108" w:type="dxa"/>
          </w:tblCellMar>
        </w:tblPrEx>
        <w:trPr>
          <w:trHeight w:val="600" w:hRule="atLeast"/>
        </w:trPr>
        <w:tc>
          <w:tcPr>
            <w:tcW w:w="736" w:type="dxa"/>
            <w:vMerge w:val="restart"/>
            <w:tcBorders>
              <w:top w:val="nil"/>
              <w:left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9</w:t>
            </w:r>
          </w:p>
        </w:tc>
        <w:tc>
          <w:tcPr>
            <w:tcW w:w="1203" w:type="dxa"/>
            <w:vMerge w:val="restart"/>
            <w:tcBorders>
              <w:top w:val="nil"/>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安全保障服务</w:t>
            </w:r>
          </w:p>
        </w:tc>
        <w:tc>
          <w:tcPr>
            <w:tcW w:w="898"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网站云监测</w:t>
            </w:r>
          </w:p>
        </w:tc>
        <w:tc>
          <w:tcPr>
            <w:tcW w:w="5268" w:type="dxa"/>
            <w:gridSpan w:val="2"/>
            <w:tcBorders>
              <w:top w:val="nil"/>
              <w:left w:val="nil"/>
              <w:bottom w:val="single" w:color="auto" w:sz="4" w:space="0"/>
              <w:right w:val="single" w:color="auto" w:sz="4" w:space="0"/>
            </w:tcBorders>
            <w:shd w:val="clear" w:color="auto" w:fill="auto"/>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为用户提供一年网站云监测平台的使用权，监测范围不超过80个域名，以用户实际需求为准。</w:t>
            </w:r>
          </w:p>
        </w:tc>
      </w:tr>
      <w:tr>
        <w:tblPrEx>
          <w:tblCellMar>
            <w:top w:w="0" w:type="dxa"/>
            <w:left w:w="108" w:type="dxa"/>
            <w:bottom w:w="0" w:type="dxa"/>
            <w:right w:w="108" w:type="dxa"/>
          </w:tblCellMar>
        </w:tblPrEx>
        <w:trPr>
          <w:trHeight w:val="600" w:hRule="atLeast"/>
        </w:trPr>
        <w:tc>
          <w:tcPr>
            <w:tcW w:w="736"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提供以下服务：漏洞扫描、违规内容监测、网页挂马监测、内容变更监测、黑链监测、网站可用性监测等；</w:t>
            </w:r>
          </w:p>
        </w:tc>
      </w:tr>
      <w:tr>
        <w:tblPrEx>
          <w:tblCellMar>
            <w:top w:w="0" w:type="dxa"/>
            <w:left w:w="108" w:type="dxa"/>
            <w:bottom w:w="0" w:type="dxa"/>
            <w:right w:w="108" w:type="dxa"/>
          </w:tblCellMar>
        </w:tblPrEx>
        <w:trPr>
          <w:trHeight w:val="600" w:hRule="atLeast"/>
        </w:trPr>
        <w:tc>
          <w:tcPr>
            <w:tcW w:w="736"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1203"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p>
        </w:tc>
        <w:tc>
          <w:tcPr>
            <w:tcW w:w="898"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lang w:bidi="ar"/>
              </w:rPr>
            </w:pPr>
          </w:p>
        </w:tc>
        <w:tc>
          <w:tcPr>
            <w:tcW w:w="5268" w:type="dxa"/>
            <w:gridSpan w:val="2"/>
            <w:tcBorders>
              <w:top w:val="nil"/>
              <w:left w:val="nil"/>
              <w:bottom w:val="single" w:color="auto" w:sz="4" w:space="0"/>
              <w:right w:val="single" w:color="auto" w:sz="4" w:space="0"/>
            </w:tcBorders>
            <w:shd w:val="clear" w:color="auto" w:fill="auto"/>
          </w:tcPr>
          <w:p>
            <w:pPr>
              <w:widowControl/>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基础人工运维服务；服务内容包括：7X24小时的安全事件监测验证和安全事件通告下发；定期远程漏洞扫描及高危漏洞人工验证；7X24小时电话售后服务。</w:t>
            </w:r>
          </w:p>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要求提供上一年度的网站监测运营分析报告。</w:t>
            </w:r>
          </w:p>
        </w:tc>
      </w:tr>
      <w:tr>
        <w:tblPrEx>
          <w:tblCellMar>
            <w:top w:w="0" w:type="dxa"/>
            <w:left w:w="108" w:type="dxa"/>
            <w:bottom w:w="0" w:type="dxa"/>
            <w:right w:w="108" w:type="dxa"/>
          </w:tblCellMar>
        </w:tblPrEx>
        <w:trPr>
          <w:gridAfter w:val="1"/>
          <w:wAfter w:w="11" w:type="dxa"/>
          <w:trHeight w:val="300"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序号</w:t>
            </w:r>
          </w:p>
        </w:tc>
        <w:tc>
          <w:tcPr>
            <w:tcW w:w="12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服务类别</w:t>
            </w:r>
          </w:p>
        </w:tc>
        <w:tc>
          <w:tcPr>
            <w:tcW w:w="8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服务项</w:t>
            </w:r>
          </w:p>
        </w:tc>
        <w:tc>
          <w:tcPr>
            <w:tcW w:w="52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2"/>
                <w:szCs w:val="22"/>
                <w:lang w:bidi="ar"/>
              </w:rPr>
            </w:pPr>
            <w:r>
              <w:rPr>
                <w:rFonts w:hint="eastAsia" w:ascii="仿宋_GB2312" w:hAnsi="仿宋_GB2312" w:eastAsia="仿宋_GB2312" w:cs="仿宋_GB2312"/>
                <w:b/>
                <w:bCs/>
                <w:kern w:val="0"/>
                <w:sz w:val="22"/>
                <w:szCs w:val="22"/>
                <w:lang w:bidi="ar"/>
              </w:rPr>
              <w:t>服务要求</w:t>
            </w:r>
          </w:p>
        </w:tc>
      </w:tr>
      <w:tr>
        <w:tblPrEx>
          <w:tblCellMar>
            <w:top w:w="0" w:type="dxa"/>
            <w:left w:w="108" w:type="dxa"/>
            <w:bottom w:w="0" w:type="dxa"/>
            <w:right w:w="108" w:type="dxa"/>
          </w:tblCellMar>
        </w:tblPrEx>
        <w:trPr>
          <w:gridAfter w:val="1"/>
          <w:wAfter w:w="11" w:type="dxa"/>
          <w:trHeight w:val="60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w:t>
            </w:r>
          </w:p>
        </w:tc>
        <w:tc>
          <w:tcPr>
            <w:tcW w:w="12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安全运营服务</w:t>
            </w:r>
          </w:p>
        </w:tc>
        <w:tc>
          <w:tcPr>
            <w:tcW w:w="8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基础环境评估</w:t>
            </w:r>
          </w:p>
        </w:tc>
        <w:tc>
          <w:tcPr>
            <w:tcW w:w="5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使用漏洞扫描和基线核查工具，对网站集约化平台运行的物理、网络、主机、中间件、数据库等基础环境进行安全评估，其中漏洞扫描每月开展一次，并给出安全加固建议。</w:t>
            </w:r>
          </w:p>
        </w:tc>
      </w:tr>
      <w:tr>
        <w:tblPrEx>
          <w:tblCellMar>
            <w:top w:w="0" w:type="dxa"/>
            <w:left w:w="108" w:type="dxa"/>
            <w:bottom w:w="0" w:type="dxa"/>
            <w:right w:w="108" w:type="dxa"/>
          </w:tblCellMar>
        </w:tblPrEx>
        <w:trPr>
          <w:gridAfter w:val="1"/>
          <w:wAfter w:w="11" w:type="dxa"/>
          <w:trHeight w:val="60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2</w:t>
            </w:r>
          </w:p>
        </w:tc>
        <w:tc>
          <w:tcPr>
            <w:tcW w:w="12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安全运营服务</w:t>
            </w:r>
          </w:p>
        </w:tc>
        <w:tc>
          <w:tcPr>
            <w:tcW w:w="8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重保时期安全保障服务</w:t>
            </w:r>
          </w:p>
        </w:tc>
        <w:tc>
          <w:tcPr>
            <w:tcW w:w="5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针对网站集约化平台及网站，重保时期提供安全服务工程师技术支持服务，值守期间能够及时发现安全事件，给出事件处置建议，并配合进行整改及安保工作。</w:t>
            </w:r>
          </w:p>
        </w:tc>
      </w:tr>
      <w:tr>
        <w:tblPrEx>
          <w:tblCellMar>
            <w:top w:w="0" w:type="dxa"/>
            <w:left w:w="108" w:type="dxa"/>
            <w:bottom w:w="0" w:type="dxa"/>
            <w:right w:w="108" w:type="dxa"/>
          </w:tblCellMar>
        </w:tblPrEx>
        <w:trPr>
          <w:gridAfter w:val="1"/>
          <w:wAfter w:w="11" w:type="dxa"/>
          <w:trHeight w:val="60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3</w:t>
            </w:r>
          </w:p>
        </w:tc>
        <w:tc>
          <w:tcPr>
            <w:tcW w:w="12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安全运营服务</w:t>
            </w:r>
          </w:p>
        </w:tc>
        <w:tc>
          <w:tcPr>
            <w:tcW w:w="8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渗透测试服务</w:t>
            </w:r>
          </w:p>
        </w:tc>
        <w:tc>
          <w:tcPr>
            <w:tcW w:w="5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针对集约化平台及网站，从主机、应用、中间件、业务逻辑多个维度开展非破坏性的渗透测试，每年开展一次，检查是否存在漏洞，针对漏洞报告提出整改建议。</w:t>
            </w:r>
          </w:p>
        </w:tc>
      </w:tr>
      <w:tr>
        <w:tblPrEx>
          <w:tblCellMar>
            <w:top w:w="0" w:type="dxa"/>
            <w:left w:w="108" w:type="dxa"/>
            <w:bottom w:w="0" w:type="dxa"/>
            <w:right w:w="108" w:type="dxa"/>
          </w:tblCellMar>
        </w:tblPrEx>
        <w:trPr>
          <w:gridAfter w:val="1"/>
          <w:wAfter w:w="11" w:type="dxa"/>
          <w:trHeight w:val="600"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4</w:t>
            </w:r>
          </w:p>
        </w:tc>
        <w:tc>
          <w:tcPr>
            <w:tcW w:w="12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安全运营服务</w:t>
            </w:r>
          </w:p>
        </w:tc>
        <w:tc>
          <w:tcPr>
            <w:tcW w:w="8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安全检查加固工作</w:t>
            </w:r>
          </w:p>
        </w:tc>
        <w:tc>
          <w:tcPr>
            <w:tcW w:w="5257"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提供安全专人负责对平台与网站安全问题的统一管理、追踪、复检。对安全组件开展安全组件管理、配置管理、安全策略管理等日常工作。</w:t>
            </w:r>
          </w:p>
        </w:tc>
      </w:tr>
    </w:tbl>
    <w:p>
      <w:pPr>
        <w:widowControl/>
        <w:spacing w:line="360" w:lineRule="auto"/>
        <w:ind w:firstLine="480" w:firstLineChars="200"/>
        <w:jc w:val="left"/>
        <w:rPr>
          <w:sz w:val="24"/>
        </w:rPr>
      </w:pPr>
      <w:r>
        <w:rPr>
          <w:rFonts w:hint="eastAsia"/>
          <w:sz w:val="24"/>
        </w:rPr>
        <w:t>（三）值守保障技术需求</w:t>
      </w:r>
    </w:p>
    <w:p>
      <w:pPr>
        <w:widowControl/>
        <w:spacing w:line="360" w:lineRule="auto"/>
        <w:ind w:firstLine="480" w:firstLineChars="200"/>
        <w:jc w:val="left"/>
        <w:rPr>
          <w:sz w:val="24"/>
        </w:rPr>
      </w:pPr>
      <w:r>
        <w:rPr>
          <w:rFonts w:hint="eastAsia"/>
          <w:sz w:val="24"/>
        </w:rPr>
        <w:t>在重大节假日及非工作时间，对集约化平台及平台承载网站提供值守保障服务。设置巡检岗位、平台运维岗位、网站运维岗等进行排班值守。包括重点时期和节假日的保障服务，以及周六、周日、工作日非工作时间的值班服务等。要求值守期间每天至少15次网站巡检，确保及时发现并解决平台和网站问题，同时提供7×24在线服务支持。详细如下：</w:t>
      </w:r>
    </w:p>
    <w:tbl>
      <w:tblPr>
        <w:tblStyle w:val="21"/>
        <w:tblW w:w="8308" w:type="dxa"/>
        <w:jc w:val="center"/>
        <w:tblLayout w:type="autofit"/>
        <w:tblCellMar>
          <w:top w:w="0" w:type="dxa"/>
          <w:left w:w="108" w:type="dxa"/>
          <w:bottom w:w="0" w:type="dxa"/>
          <w:right w:w="108" w:type="dxa"/>
        </w:tblCellMar>
      </w:tblPr>
      <w:tblGrid>
        <w:gridCol w:w="878"/>
        <w:gridCol w:w="1621"/>
        <w:gridCol w:w="1536"/>
        <w:gridCol w:w="4273"/>
      </w:tblGrid>
      <w:tr>
        <w:tblPrEx>
          <w:tblCellMar>
            <w:top w:w="0" w:type="dxa"/>
            <w:left w:w="108" w:type="dxa"/>
            <w:bottom w:w="0" w:type="dxa"/>
            <w:right w:w="108" w:type="dxa"/>
          </w:tblCellMar>
        </w:tblPrEx>
        <w:trPr>
          <w:trHeight w:val="600" w:hRule="atLeast"/>
          <w:tblHeader/>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kern w:val="0"/>
                <w:sz w:val="22"/>
                <w:szCs w:val="22"/>
                <w:lang w:bidi="ar"/>
              </w:rPr>
            </w:pPr>
            <w:r>
              <w:rPr>
                <w:rFonts w:hint="eastAsia" w:ascii="微软雅黑" w:hAnsi="微软雅黑" w:eastAsia="微软雅黑" w:cs="微软雅黑"/>
                <w:b/>
                <w:bCs/>
                <w:kern w:val="0"/>
                <w:sz w:val="22"/>
                <w:szCs w:val="22"/>
                <w:lang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kern w:val="0"/>
                <w:sz w:val="22"/>
                <w:szCs w:val="22"/>
                <w:lang w:bidi="ar"/>
              </w:rPr>
            </w:pPr>
            <w:r>
              <w:rPr>
                <w:rFonts w:hint="eastAsia" w:ascii="微软雅黑" w:hAnsi="微软雅黑" w:eastAsia="微软雅黑" w:cs="微软雅黑"/>
                <w:b/>
                <w:bCs/>
                <w:kern w:val="0"/>
                <w:sz w:val="22"/>
                <w:szCs w:val="22"/>
                <w:lang w:bidi="ar"/>
              </w:rPr>
              <w:t>服务类别</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kern w:val="0"/>
                <w:sz w:val="22"/>
                <w:szCs w:val="22"/>
                <w:lang w:bidi="ar"/>
              </w:rPr>
            </w:pPr>
            <w:r>
              <w:rPr>
                <w:rFonts w:hint="eastAsia" w:ascii="微软雅黑" w:hAnsi="微软雅黑" w:eastAsia="微软雅黑" w:cs="微软雅黑"/>
                <w:b/>
                <w:bCs/>
                <w:kern w:val="0"/>
                <w:sz w:val="22"/>
                <w:szCs w:val="22"/>
                <w:lang w:bidi="ar"/>
              </w:rPr>
              <w:t>服务名称</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kern w:val="0"/>
                <w:sz w:val="22"/>
                <w:szCs w:val="22"/>
                <w:lang w:bidi="ar"/>
              </w:rPr>
            </w:pPr>
            <w:r>
              <w:rPr>
                <w:rFonts w:hint="eastAsia" w:ascii="微软雅黑" w:hAnsi="微软雅黑" w:eastAsia="微软雅黑" w:cs="微软雅黑"/>
                <w:b/>
                <w:bCs/>
                <w:kern w:val="0"/>
                <w:sz w:val="22"/>
                <w:szCs w:val="22"/>
                <w:lang w:bidi="ar"/>
              </w:rPr>
              <w:t>服务描述</w:t>
            </w:r>
          </w:p>
        </w:tc>
      </w:tr>
      <w:tr>
        <w:tblPrEx>
          <w:tblCellMar>
            <w:top w:w="0" w:type="dxa"/>
            <w:left w:w="108" w:type="dxa"/>
            <w:bottom w:w="0" w:type="dxa"/>
            <w:right w:w="108" w:type="dxa"/>
          </w:tblCellMar>
        </w:tblPrEx>
        <w:trPr>
          <w:trHeight w:val="291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值守保障</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重要时期保障服务</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提供平台及网站在重点时期及非工作时间的保障服务：</w:t>
            </w:r>
          </w:p>
          <w:p>
            <w:pPr>
              <w:widowControl/>
              <w:numPr>
                <w:ilvl w:val="0"/>
                <w:numId w:val="2"/>
              </w:numPr>
              <w:jc w:val="left"/>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重点时期提供7*24小时的值守保障服务。每个小时人工扫描一次，保障平台和网站的平稳高效运行，安排开发工程师和产品工程师备班处理技术问题。</w:t>
            </w:r>
          </w:p>
          <w:p>
            <w:pPr>
              <w:widowControl/>
              <w:jc w:val="left"/>
              <w:textAlignment w:val="center"/>
            </w:pPr>
            <w:r>
              <w:rPr>
                <w:rFonts w:hint="eastAsia" w:ascii="仿宋_GB2312" w:hAnsi="仿宋_GB2312" w:eastAsia="仿宋_GB2312" w:cs="仿宋_GB2312"/>
                <w:kern w:val="0"/>
                <w:sz w:val="22"/>
                <w:szCs w:val="22"/>
                <w:lang w:bidi="ar"/>
              </w:rPr>
              <w:t>2.安排技术团队制定专有岗位，设置巡检岗位、网站开发岗位、平台运维岗位值班。</w:t>
            </w:r>
          </w:p>
        </w:tc>
      </w:tr>
    </w:tbl>
    <w:p>
      <w:pPr>
        <w:widowControl/>
        <w:spacing w:line="360" w:lineRule="auto"/>
        <w:ind w:firstLine="480" w:firstLineChars="200"/>
        <w:jc w:val="left"/>
        <w:rPr>
          <w:sz w:val="24"/>
        </w:rPr>
      </w:pPr>
      <w:r>
        <w:rPr>
          <w:rFonts w:hint="eastAsia"/>
          <w:sz w:val="24"/>
        </w:rPr>
        <w:t>三、建设周期</w:t>
      </w:r>
    </w:p>
    <w:p>
      <w:pPr>
        <w:widowControl/>
        <w:spacing w:line="360" w:lineRule="auto"/>
        <w:ind w:firstLine="480" w:firstLineChars="200"/>
        <w:jc w:val="left"/>
        <w:rPr>
          <w:sz w:val="24"/>
        </w:rPr>
      </w:pPr>
      <w:r>
        <w:rPr>
          <w:rFonts w:hint="eastAsia"/>
          <w:sz w:val="24"/>
        </w:rPr>
        <w:t>服务期限一年，起止日期以合同为准。</w:t>
      </w:r>
    </w:p>
    <w:p>
      <w:pPr>
        <w:widowControl/>
        <w:spacing w:line="360" w:lineRule="auto"/>
        <w:ind w:firstLine="480" w:firstLineChars="200"/>
        <w:jc w:val="left"/>
        <w:rPr>
          <w:sz w:val="24"/>
        </w:rPr>
      </w:pPr>
      <w:r>
        <w:rPr>
          <w:rFonts w:hint="eastAsia"/>
          <w:sz w:val="24"/>
        </w:rPr>
        <w:t>四、安全审查和保密要求</w:t>
      </w:r>
    </w:p>
    <w:p>
      <w:pPr>
        <w:widowControl/>
        <w:spacing w:line="360" w:lineRule="auto"/>
        <w:ind w:firstLine="480" w:firstLineChars="200"/>
        <w:jc w:val="left"/>
        <w:rPr>
          <w:sz w:val="24"/>
        </w:rPr>
      </w:pPr>
      <w:r>
        <w:rPr>
          <w:rFonts w:hint="eastAsia"/>
          <w:sz w:val="24"/>
        </w:rPr>
        <w:t>按照《中华人民共和国网络安全法》等法律法规以及党政机关安全管理有关规定，落实国家网络安全等级保护、密码应用有关法律法规和标准规范的要求，同步开展网络安全审查有关工作。</w:t>
      </w:r>
    </w:p>
    <w:p>
      <w:pPr>
        <w:widowControl/>
        <w:spacing w:line="360" w:lineRule="auto"/>
        <w:ind w:firstLine="480" w:firstLineChars="200"/>
        <w:jc w:val="left"/>
        <w:rPr>
          <w:sz w:val="24"/>
        </w:rPr>
      </w:pPr>
      <w:r>
        <w:rPr>
          <w:rFonts w:hint="eastAsia"/>
          <w:sz w:val="24"/>
        </w:rPr>
        <w:t>供应商应签署《网络安全责任承诺书》，运维人员应每年签订《保密承诺书》，并明确应承担法律责任。供应商和运维人员在未经采购人认可的情况下，不得将任何采购人认为涉及数据安全的观点、数据、系统结构信息、测试结论以及测试记录传播、披露和使用；不得擅自修改任何程序和数据；运维厂商和运维人员保证严格遵守采购人的保密要求，并签订保密协议；保证对于采购人提供的资料（包括业务资料、技术资料、相关数据等），不得以任何形式向第三方传播；保证不向外（指采购人规定范围以外）泄漏任何与本项目相关的保密技术资料。保密期限不受本项目期限的限制，在本项目履行完毕后，运维厂商和运维人员继续承担保密义务。</w:t>
      </w:r>
    </w:p>
    <w:p>
      <w:pPr>
        <w:widowControl/>
        <w:spacing w:line="360" w:lineRule="auto"/>
        <w:ind w:firstLine="480" w:firstLineChars="200"/>
        <w:jc w:val="left"/>
        <w:rPr>
          <w:sz w:val="24"/>
        </w:rPr>
      </w:pPr>
      <w:r>
        <w:rPr>
          <w:rFonts w:hint="eastAsia"/>
          <w:sz w:val="24"/>
        </w:rPr>
        <w:t>五、服务要求</w:t>
      </w:r>
    </w:p>
    <w:p>
      <w:pPr>
        <w:widowControl/>
        <w:spacing w:line="360" w:lineRule="auto"/>
        <w:ind w:firstLine="480" w:firstLineChars="200"/>
        <w:jc w:val="left"/>
        <w:rPr>
          <w:sz w:val="24"/>
        </w:rPr>
      </w:pPr>
      <w:r>
        <w:rPr>
          <w:rFonts w:hint="eastAsia"/>
          <w:sz w:val="24"/>
        </w:rPr>
        <w:t>（一）服务保障要求</w:t>
      </w:r>
    </w:p>
    <w:p>
      <w:pPr>
        <w:widowControl/>
        <w:spacing w:line="360" w:lineRule="auto"/>
        <w:jc w:val="left"/>
        <w:rPr>
          <w:sz w:val="24"/>
        </w:rPr>
      </w:pPr>
      <w:r>
        <w:rPr>
          <w:rFonts w:hint="eastAsia"/>
          <w:sz w:val="24"/>
        </w:rPr>
        <w:t xml:space="preserve">    1.人员要求</w:t>
      </w:r>
    </w:p>
    <w:p>
      <w:pPr>
        <w:widowControl/>
        <w:spacing w:line="360" w:lineRule="auto"/>
        <w:ind w:firstLine="480" w:firstLineChars="200"/>
        <w:jc w:val="left"/>
        <w:rPr>
          <w:sz w:val="24"/>
        </w:rPr>
      </w:pPr>
      <w:r>
        <w:rPr>
          <w:rFonts w:hint="eastAsia"/>
          <w:sz w:val="24"/>
        </w:rPr>
        <w:t>组建不少于10人的技术服务团队，包括运维经理、网页设计师、前后端开发工程师、系统工程师、安全工程师、运维工程师、咨询顾问等。相关人员必须具有国家认可的相关行业的资质证书，投标人需要在投标书中明确工程师的姓名、学历、相关资质、相关工作经验及所负责的工作内容等采购人需要了解的内容。</w:t>
      </w:r>
    </w:p>
    <w:p>
      <w:pPr>
        <w:widowControl/>
        <w:spacing w:line="360" w:lineRule="auto"/>
        <w:jc w:val="left"/>
        <w:rPr>
          <w:sz w:val="24"/>
        </w:rPr>
      </w:pPr>
      <w:r>
        <w:rPr>
          <w:rFonts w:hint="eastAsia"/>
          <w:sz w:val="24"/>
        </w:rPr>
        <w:t>运维经理及团队成员中途不得更换，如遇特殊情况（如离职等）需更换的，需提前1个月报采购人批准后执行。 因人员变更或其它因中标单位管理原因造成的系统故障、数据丢失、泄密等一切 事故，中标单位应承担一切责任和损失。造成严重后果的中标单位应承担相应法律责任。</w:t>
      </w:r>
    </w:p>
    <w:p>
      <w:pPr>
        <w:widowControl/>
        <w:spacing w:line="360" w:lineRule="auto"/>
        <w:ind w:firstLine="480" w:firstLineChars="200"/>
        <w:jc w:val="left"/>
        <w:rPr>
          <w:sz w:val="24"/>
        </w:rPr>
      </w:pPr>
      <w:r>
        <w:rPr>
          <w:rFonts w:hint="eastAsia"/>
          <w:sz w:val="24"/>
        </w:rPr>
        <w:t>2.服务要求</w:t>
      </w:r>
    </w:p>
    <w:p>
      <w:pPr>
        <w:widowControl/>
        <w:spacing w:line="360" w:lineRule="auto"/>
        <w:ind w:firstLine="480" w:firstLineChars="200"/>
        <w:jc w:val="left"/>
        <w:rPr>
          <w:sz w:val="24"/>
        </w:rPr>
      </w:pPr>
      <w:r>
        <w:rPr>
          <w:rFonts w:hint="eastAsia"/>
          <w:sz w:val="24"/>
        </w:rPr>
        <w:t>应提供7×24 小时技术支持和响应服务，工作时间收到用户服务请求半个小时内响应，非工作时间2个小时内响应，24小时之内解决问题。如需到达现场进行处理，4小时内指派技术人员到达现场。对于技术人员不能解决的重大软件技术问题，及时组织技术专家进行技术支持。</w:t>
      </w:r>
    </w:p>
    <w:p>
      <w:pPr>
        <w:widowControl/>
        <w:spacing w:line="360" w:lineRule="auto"/>
        <w:ind w:firstLine="480" w:firstLineChars="200"/>
        <w:jc w:val="left"/>
        <w:rPr>
          <w:sz w:val="24"/>
        </w:rPr>
      </w:pPr>
      <w:r>
        <w:rPr>
          <w:rFonts w:hint="eastAsia"/>
          <w:sz w:val="24"/>
        </w:rPr>
        <w:t>供应商应根据采购人提出的重大配置变更（如应用系统网络、存储、主机、中间件、数据库、操作系统的重大配置调整）进行评估和方案制定，并综合判断重大配置变更执行的风险、回退方案、可行性、所需资源等。在主机系统、网络系统、系统软件等系统发生迁移变更时，指派环境搭建部署人员密切配合硬件厂商等第三方公司做好应用系统的迁移变更工作，以及对系统环境的重新搭建部署工作。</w:t>
      </w:r>
    </w:p>
    <w:p>
      <w:pPr>
        <w:widowControl/>
        <w:spacing w:line="360" w:lineRule="auto"/>
        <w:ind w:firstLine="480" w:firstLineChars="200"/>
        <w:jc w:val="left"/>
        <w:rPr>
          <w:sz w:val="24"/>
        </w:rPr>
      </w:pPr>
      <w:r>
        <w:rPr>
          <w:rFonts w:hint="eastAsia"/>
          <w:sz w:val="24"/>
        </w:rPr>
        <w:t>供应商应主动收集系统关键补丁、软件补丁等信息，在采购人的监督下，对业务系统实施升级服务，并在升级完成后配合采购人对系统进行测试和调优。安装或升级实施完成24小时后对实施的主机系统进行一次跟踪检查，确认实施成功，并在3个工作日内提交实施报告和测试报告。</w:t>
      </w:r>
    </w:p>
    <w:p>
      <w:pPr>
        <w:widowControl/>
        <w:spacing w:line="360" w:lineRule="auto"/>
        <w:ind w:firstLine="480" w:firstLineChars="200"/>
        <w:jc w:val="left"/>
        <w:rPr>
          <w:sz w:val="24"/>
        </w:rPr>
      </w:pPr>
      <w:r>
        <w:rPr>
          <w:rFonts w:hint="eastAsia"/>
          <w:sz w:val="24"/>
        </w:rPr>
        <w:t>运维过程中新增系统交付应提供规范格式的交付清单，包括相关软件、硬件、技术文档、管理手册、使用手册、培训材料、相关工具等，并对相关运维人员进行培训。</w:t>
      </w:r>
    </w:p>
    <w:p>
      <w:pPr>
        <w:widowControl/>
        <w:spacing w:line="360" w:lineRule="auto"/>
        <w:ind w:firstLine="480" w:firstLineChars="200"/>
        <w:jc w:val="left"/>
        <w:rPr>
          <w:sz w:val="24"/>
        </w:rPr>
      </w:pPr>
      <w:r>
        <w:rPr>
          <w:rFonts w:hint="eastAsia"/>
          <w:sz w:val="24"/>
        </w:rPr>
        <w:t>系统变更应提交正式变更申请，明确申请人、审批人、实施人、复核人等，并留痕存档。申请应有明确的变更方案，内容包括目标、对象、时间、人员、紧急程度、操作步骤、测试方案、实施方案、风险防控措施、应急预案、回退方案等。</w:t>
      </w:r>
    </w:p>
    <w:p>
      <w:pPr>
        <w:widowControl/>
        <w:spacing w:line="360" w:lineRule="auto"/>
        <w:ind w:firstLine="480" w:firstLineChars="200"/>
        <w:jc w:val="left"/>
        <w:rPr>
          <w:sz w:val="24"/>
        </w:rPr>
      </w:pPr>
      <w:r>
        <w:rPr>
          <w:rFonts w:hint="eastAsia"/>
          <w:sz w:val="24"/>
        </w:rPr>
        <w:t>系统上线或变更前应制定测试方案进行充分测试，确定采用的测试方法和测试流程，测试用例应覆盖功能、性能、容量、安全性、稳定性等各个方面。测试完成后应对测试结果进行分析评估，并出具测试报告，通过测试后方可上线使用。</w:t>
      </w:r>
    </w:p>
    <w:p>
      <w:pPr>
        <w:widowControl/>
        <w:spacing w:line="360" w:lineRule="auto"/>
        <w:jc w:val="left"/>
        <w:rPr>
          <w:sz w:val="24"/>
        </w:rPr>
      </w:pPr>
      <w:r>
        <w:rPr>
          <w:rFonts w:hint="eastAsia"/>
          <w:sz w:val="24"/>
        </w:rPr>
        <w:t>应对运维过程中发生的所有事件进行全程记录跟踪，运维事件处理流程包括响应、分级、分派、处理、监控、结束等环节。要求根据事件的影响程度和影响范围评估事件处理优先级及时处理。</w:t>
      </w:r>
    </w:p>
    <w:p>
      <w:pPr>
        <w:widowControl/>
        <w:spacing w:line="360" w:lineRule="auto"/>
        <w:ind w:firstLine="480" w:firstLineChars="200"/>
        <w:jc w:val="left"/>
        <w:rPr>
          <w:sz w:val="24"/>
        </w:rPr>
      </w:pPr>
      <w:r>
        <w:rPr>
          <w:rFonts w:hint="eastAsia"/>
          <w:sz w:val="24"/>
        </w:rPr>
        <w:t>按采购人要求，定期编写集约化平台及网站的运维工作周报、月报、年报，以及工作简报，对运维工作进行阶段性总结。</w:t>
      </w:r>
    </w:p>
    <w:p>
      <w:pPr>
        <w:widowControl/>
        <w:spacing w:line="360" w:lineRule="auto"/>
        <w:ind w:firstLine="480" w:firstLineChars="200"/>
        <w:jc w:val="left"/>
        <w:rPr>
          <w:sz w:val="24"/>
        </w:rPr>
      </w:pPr>
      <w:r>
        <w:rPr>
          <w:rFonts w:hint="eastAsia"/>
          <w:sz w:val="24"/>
        </w:rPr>
        <w:t>3.应急要求</w:t>
      </w:r>
    </w:p>
    <w:p>
      <w:pPr>
        <w:widowControl/>
        <w:spacing w:line="360" w:lineRule="auto"/>
        <w:ind w:firstLine="480" w:firstLineChars="200"/>
        <w:jc w:val="left"/>
        <w:rPr>
          <w:sz w:val="24"/>
        </w:rPr>
      </w:pPr>
      <w:r>
        <w:rPr>
          <w:rFonts w:hint="eastAsia"/>
          <w:sz w:val="24"/>
        </w:rPr>
        <w:t>应建立固定的应急响应运维团队，实施7×24小时应急值守和监控机制。</w:t>
      </w:r>
    </w:p>
    <w:p>
      <w:pPr>
        <w:widowControl/>
        <w:spacing w:line="360" w:lineRule="auto"/>
        <w:ind w:firstLine="480" w:firstLineChars="200"/>
        <w:jc w:val="left"/>
        <w:rPr>
          <w:sz w:val="24"/>
        </w:rPr>
      </w:pPr>
      <w:r>
        <w:rPr>
          <w:rFonts w:hint="eastAsia"/>
          <w:sz w:val="24"/>
        </w:rPr>
        <w:t>应制定网络安全事件应急预案，每年至少组织一次应急演练，提升突发情况的应急保障能力。</w:t>
      </w:r>
    </w:p>
    <w:p>
      <w:pPr>
        <w:widowControl/>
        <w:spacing w:line="360" w:lineRule="auto"/>
        <w:ind w:firstLine="480" w:firstLineChars="200"/>
        <w:jc w:val="left"/>
        <w:rPr>
          <w:sz w:val="24"/>
        </w:rPr>
      </w:pPr>
      <w:r>
        <w:rPr>
          <w:rFonts w:hint="eastAsia"/>
          <w:sz w:val="24"/>
        </w:rPr>
        <w:t>应按照职责分工对平台及网站开展日常监测活动，及时发现应急事件并有效预警，第一时间进行核实和评估。</w:t>
      </w:r>
    </w:p>
    <w:p>
      <w:pPr>
        <w:widowControl/>
        <w:spacing w:line="360" w:lineRule="auto"/>
        <w:ind w:firstLine="480" w:firstLineChars="200"/>
        <w:jc w:val="left"/>
        <w:rPr>
          <w:sz w:val="24"/>
        </w:rPr>
      </w:pPr>
      <w:r>
        <w:rPr>
          <w:rFonts w:hint="eastAsia"/>
          <w:sz w:val="24"/>
        </w:rPr>
        <w:t>发生安全事件时，应按照采购人要求，迅速采取应急措施，恢复系统正常运行，并及时反馈，同步做好应急处置的相关记录，保留有关证据。</w:t>
      </w:r>
    </w:p>
    <w:p>
      <w:pPr>
        <w:widowControl/>
        <w:spacing w:line="360" w:lineRule="auto"/>
        <w:ind w:firstLine="480" w:firstLineChars="200"/>
        <w:jc w:val="left"/>
        <w:rPr>
          <w:sz w:val="24"/>
        </w:rPr>
      </w:pPr>
      <w:r>
        <w:rPr>
          <w:rFonts w:hint="eastAsia"/>
          <w:sz w:val="24"/>
        </w:rPr>
        <w:t>应急响应时间不超过5分钟，遇紧急故障，2小时到达现场，对系统问题进行诊断、分析和解决故障保证8小时内排除。</w:t>
      </w:r>
    </w:p>
    <w:p>
      <w:pPr>
        <w:widowControl/>
        <w:spacing w:line="360" w:lineRule="auto"/>
        <w:ind w:firstLine="480" w:firstLineChars="200"/>
        <w:jc w:val="left"/>
        <w:rPr>
          <w:sz w:val="24"/>
        </w:rPr>
      </w:pPr>
      <w:r>
        <w:rPr>
          <w:rFonts w:hint="eastAsia"/>
          <w:sz w:val="24"/>
        </w:rPr>
        <w:t>（二）运行维护要求</w:t>
      </w:r>
    </w:p>
    <w:p>
      <w:pPr>
        <w:widowControl/>
        <w:spacing w:line="360" w:lineRule="auto"/>
        <w:ind w:firstLine="480" w:firstLineChars="200"/>
        <w:jc w:val="left"/>
        <w:rPr>
          <w:sz w:val="24"/>
        </w:rPr>
      </w:pPr>
      <w:r>
        <w:rPr>
          <w:rFonts w:hint="eastAsia"/>
          <w:sz w:val="24"/>
        </w:rPr>
        <w:t>1.服务方式</w:t>
      </w:r>
    </w:p>
    <w:p>
      <w:pPr>
        <w:widowControl/>
        <w:spacing w:line="360" w:lineRule="auto"/>
        <w:ind w:firstLine="480" w:firstLineChars="200"/>
        <w:jc w:val="left"/>
        <w:rPr>
          <w:sz w:val="24"/>
        </w:rPr>
      </w:pPr>
      <w:r>
        <w:rPr>
          <w:rFonts w:hint="eastAsia"/>
          <w:sz w:val="24"/>
        </w:rPr>
        <w:t>提供7×24小时远程技术支持响应服务，不少于3人的5×8小时现场驻场运维服务，驻场运维人员须服从采购人本项目主管部门的管理，遵守采购人办公时间。</w:t>
      </w:r>
    </w:p>
    <w:p>
      <w:pPr>
        <w:widowControl/>
        <w:spacing w:line="360" w:lineRule="auto"/>
        <w:ind w:firstLine="480" w:firstLineChars="200"/>
        <w:jc w:val="left"/>
        <w:rPr>
          <w:sz w:val="24"/>
        </w:rPr>
      </w:pPr>
      <w:r>
        <w:rPr>
          <w:rFonts w:hint="eastAsia"/>
          <w:sz w:val="24"/>
        </w:rPr>
        <w:t>2.服务承诺</w:t>
      </w:r>
    </w:p>
    <w:p>
      <w:pPr>
        <w:widowControl/>
        <w:spacing w:line="360" w:lineRule="auto"/>
        <w:ind w:firstLine="480" w:firstLineChars="200"/>
        <w:jc w:val="left"/>
        <w:rPr>
          <w:sz w:val="24"/>
        </w:rPr>
      </w:pPr>
      <w:r>
        <w:rPr>
          <w:rFonts w:hint="eastAsia"/>
          <w:sz w:val="24"/>
        </w:rPr>
        <w:t>本项目所有开发的项目中按采购人需求定制开发、建设的部分，知识产权归采购人所有，其他的有关知识产权归属，按照国家及天津市有关知识产权规定要求执行。 投标人须确保提供给采购人使用的所有服务资源不存在知识产权问题，否则，由此引起的任何责任均由投标人承担。</w:t>
      </w:r>
    </w:p>
    <w:p>
      <w:pPr>
        <w:widowControl/>
        <w:spacing w:line="360" w:lineRule="auto"/>
        <w:ind w:firstLine="480" w:firstLineChars="200"/>
        <w:jc w:val="left"/>
        <w:rPr>
          <w:sz w:val="24"/>
        </w:rPr>
      </w:pPr>
      <w:r>
        <w:rPr>
          <w:rFonts w:hint="eastAsia"/>
          <w:sz w:val="24"/>
        </w:rPr>
        <w:t>合同执行结束后，投标人应确保服务工作平滑稳定地迁移到下一个服务团队，投标人须承诺在合同结束至新的投标人到位期间，继续提供原合同规定的服务内容和服务水平，服务费用按当年实际服务时间比例分配。 投标人应制定详细的交接工作计划，包括概况、目标、实施内容（包括不限于系 统建设方面、信息资源保存方面等）、质量保证措施、进度安排、应急预案等内容， 并报采购人进行备份，同时作为采购人检查的依据。</w:t>
      </w:r>
    </w:p>
    <w:p>
      <w:pPr>
        <w:widowControl/>
        <w:spacing w:line="360" w:lineRule="auto"/>
        <w:ind w:firstLine="480" w:firstLineChars="200"/>
        <w:jc w:val="left"/>
        <w:rPr>
          <w:sz w:val="24"/>
        </w:rPr>
      </w:pPr>
      <w:r>
        <w:rPr>
          <w:rFonts w:hint="eastAsia"/>
          <w:sz w:val="24"/>
        </w:rPr>
        <w:t>六、验收标准</w:t>
      </w:r>
    </w:p>
    <w:p>
      <w:pPr>
        <w:widowControl/>
        <w:spacing w:line="360" w:lineRule="auto"/>
        <w:ind w:firstLine="480" w:firstLineChars="200"/>
        <w:jc w:val="left"/>
        <w:rPr>
          <w:sz w:val="24"/>
        </w:rPr>
      </w:pPr>
      <w:r>
        <w:rPr>
          <w:rFonts w:hint="eastAsia"/>
          <w:sz w:val="24"/>
        </w:rPr>
        <w:t>充分满足采购文件提出的相关运维服务要求，完成全部运维内容，相关文档资料齐全。</w:t>
      </w:r>
    </w:p>
    <w:p>
      <w:pPr>
        <w:widowControl/>
        <w:spacing w:line="360" w:lineRule="auto"/>
        <w:ind w:firstLine="480" w:firstLineChars="200"/>
        <w:jc w:val="left"/>
        <w:rPr>
          <w:sz w:val="24"/>
        </w:rPr>
      </w:pPr>
      <w:r>
        <w:rPr>
          <w:rFonts w:hint="eastAsia"/>
          <w:sz w:val="24"/>
        </w:rPr>
        <w:t>按照合同和招标文件要求完成相关项目文档，具体包括：运维服务方案、巡检报告、应急保障方案、用户满意度调查表、运维周报、运维月报、项目总结报告等。</w:t>
      </w: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“服务”</w:t>
      </w:r>
      <w:r>
        <w:rPr>
          <w:rFonts w:ascii="Times New Roman" w:hAnsi="Times New Roman" w:cs="Times New Roman"/>
          <w:color w:val="auto"/>
          <w:szCs w:val="21"/>
        </w:rPr>
        <w:t>系指招标文件规定的投标人为完成采购项目所需承担的全部义务。</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8"/>
        <w:spacing w:line="360" w:lineRule="auto"/>
        <w:ind w:firstLine="480"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（4）下载招标文件时，应以联合体协议中确定的主体方名义下载。</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w:t>
      </w:r>
      <w:r>
        <w:rPr>
          <w:rFonts w:hint="eastAsia"/>
          <w:color w:val="auto"/>
        </w:rPr>
        <w:t>采购人或天津市政府采购中心</w:t>
      </w:r>
      <w:r>
        <w:rPr>
          <w:rFonts w:hint="eastAsia" w:ascii="Times New Roman" w:hAnsi="Times New Roman" w:eastAsia="宋体" w:cs="Times New Roman"/>
          <w:color w:val="auto"/>
        </w:rPr>
        <w:t>有权将质疑函转发质疑事项各关联方，请其作出解释说明。对捏造事实、滥用维权扰乱采购秩序的恶意质疑者，将上报天津市财政局政府采购处依法处理。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加盖投标人电子签章的PDF格式电子投标文件（以通过电子签章客户端软件winaip正确读取签章信息为准）。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投标人须按《投标邀请函》规定提交网上应答并上传加盖投标人电子签章的PDF格式电子投标文件（以通过电子签章客户端软件winaip正确读取签章信息为准）。具体方式：</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电子签章客户端软件winaip正确读取签章信息为准）。如有需要，投标人可于工作时间且在招标文件规定的截止时间前到天津市河东区红星路79号天津市政府采购中心窗口完成上述操作。</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电子签章客户端软件winaip正确读取签章信息为准），并于投标截止时间前上传至天津市政府采购中心招投标系统。</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远程招投标电子签章客户端用户使用说明》的要求使用电子签章客户端软件winaip。不按本使用说明使用电子签章客户端软件winaip，或使用word等其它软件进行签章工作，将会造成电子签章客户端软件winaip无法读取签章信息，并导致投标无效。</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未按招标文件的规定提交网上应答和上传加盖投标人电子签章的PDF格式电子投标文件（以通过电子签章客户端软件winaip正确读取签章信息为准）的投标将被拒绝。</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8"/>
        <w:spacing w:line="360" w:lineRule="auto"/>
        <w:ind w:firstLine="480" w:firstLineChars="200"/>
        <w:jc w:val="both"/>
        <w:rPr>
          <w:rFonts w:ascii="Times New Roman" w:hAnsi="Times New Roman" w:eastAsia="宋体" w:cs="Times New Roman"/>
          <w:color w:val="auto"/>
          <w:highlight w:val="yellow"/>
        </w:rPr>
      </w:pPr>
      <w:r>
        <w:rPr>
          <w:rFonts w:ascii="Times New Roman" w:hAnsi="Times New Roman" w:eastAsia="宋体" w:cs="Times New Roman"/>
          <w:color w:val="auto"/>
          <w:highlight w:val="yellow"/>
        </w:rPr>
        <w:t>28. 对投标文件的审查和响应性的确定</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28.2 投标截止时间后，除评标委员会要求提供外，不接受投标人及与投标人有关的任何一方递交的材料。</w:t>
      </w:r>
    </w:p>
    <w:p>
      <w:pPr>
        <w:pStyle w:val="28"/>
        <w:spacing w:line="360" w:lineRule="auto"/>
        <w:ind w:firstLine="480" w:firstLineChars="200"/>
        <w:jc w:val="both"/>
        <w:rPr>
          <w:rFonts w:ascii="Times New Roman" w:hAnsi="Times New Roman" w:eastAsia="宋体" w:cs="Times New Roman"/>
          <w:color w:val="auto"/>
          <w:highlight w:val="yellow"/>
        </w:rPr>
      </w:pPr>
      <w:r>
        <w:rPr>
          <w:rFonts w:ascii="Times New Roman" w:hAnsi="Times New Roman" w:eastAsia="宋体" w:cs="Times New Roman"/>
          <w:color w:val="auto"/>
          <w:highlight w:val="yellow"/>
        </w:rPr>
        <w:t>28.</w:t>
      </w:r>
      <w:r>
        <w:rPr>
          <w:rFonts w:hint="eastAsia" w:ascii="Times New Roman" w:hAnsi="Times New Roman" w:eastAsia="宋体" w:cs="Times New Roman"/>
          <w:color w:val="auto"/>
          <w:highlight w:val="yellow"/>
        </w:rPr>
        <w:t>3</w:t>
      </w:r>
      <w:r>
        <w:rPr>
          <w:rFonts w:ascii="Times New Roman" w:hAnsi="Times New Roman" w:eastAsia="宋体" w:cs="Times New Roman"/>
          <w:color w:val="auto"/>
          <w:highlight w:val="yellow"/>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（1）投标文件未按招标文件的要求加盖电子签章的；</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（2）投标有效期短于招标文件要求的；</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（3）投标文件中提供虚假材料的；</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（4）不能满足招标文件中任何一条实质性要求或加注“★”号条款出现负偏离或经评标委员会认定未实质性响应招标文件要求的或投标内容不符合相关强制性规定的；</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（5）未按时进行网上解密或电子投标文件损坏、无效的；</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（6）投标报价超出采购预算或最高限价；</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（7）存在串通情形的；</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（8）单位负责人或法定代表人为同一人，或者存在控股、管理关系的不同供应商，参加同一包或者未划分包的同一项目投标的，相关投标均无效；</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（9）其他法定投标无效的情形。</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28.4 评标委员会对确定为实质上响应的投标进行审核，</w:t>
      </w:r>
      <w:r>
        <w:rPr>
          <w:rFonts w:ascii="Times New Roman" w:hAnsi="Times New Roman" w:eastAsia="宋体" w:cs="Times New Roman"/>
          <w:color w:val="auto"/>
          <w:highlight w:val="yellow"/>
        </w:rPr>
        <w:t>投标文件报价出现前后不一致的</w:t>
      </w:r>
      <w:r>
        <w:rPr>
          <w:rFonts w:hint="eastAsia" w:ascii="Times New Roman" w:hAnsi="Times New Roman" w:eastAsia="宋体" w:cs="Times New Roman"/>
          <w:color w:val="auto"/>
          <w:highlight w:val="yellow"/>
        </w:rPr>
        <w:t>，修改错误的原则如下：</w:t>
      </w:r>
    </w:p>
    <w:p>
      <w:pPr>
        <w:pStyle w:val="28"/>
        <w:spacing w:line="360" w:lineRule="auto"/>
        <w:ind w:firstLine="480" w:firstLineChars="200"/>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（1）投标文件中开标一览表（报价表）内容与投标文件中相应内容不一致的，以开标一览表（报价表）为准；</w:t>
      </w:r>
    </w:p>
    <w:p>
      <w:pPr>
        <w:pStyle w:val="28"/>
        <w:spacing w:line="360" w:lineRule="auto"/>
        <w:ind w:firstLine="480" w:firstLineChars="200"/>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（2）大写金额和小写金额不一致的，以大写金额为准；</w:t>
      </w:r>
    </w:p>
    <w:p>
      <w:pPr>
        <w:pStyle w:val="28"/>
        <w:spacing w:line="360" w:lineRule="auto"/>
        <w:ind w:firstLine="480" w:firstLineChars="200"/>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（3）单价金额小数点或者百分比有明显错位的，以开标一览表的总价为准，并修改单价；</w:t>
      </w:r>
    </w:p>
    <w:p>
      <w:pPr>
        <w:pStyle w:val="28"/>
        <w:spacing w:line="360" w:lineRule="auto"/>
        <w:ind w:firstLine="480" w:firstLineChars="200"/>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（4）总价金额与按单价汇总金额不一致的，以单价金额计算结果为准。</w:t>
      </w:r>
    </w:p>
    <w:p>
      <w:pPr>
        <w:pStyle w:val="28"/>
        <w:spacing w:line="360" w:lineRule="auto"/>
        <w:ind w:firstLine="480" w:firstLineChars="200"/>
        <w:jc w:val="both"/>
        <w:rPr>
          <w:rFonts w:ascii="Times New Roman" w:hAnsi="Times New Roman" w:eastAsia="宋体" w:cs="Times New Roman"/>
          <w:color w:val="auto"/>
          <w:highlight w:val="yellow"/>
        </w:rPr>
      </w:pPr>
      <w:r>
        <w:rPr>
          <w:rFonts w:hint="eastAsia" w:ascii="Times New Roman" w:hAnsi="Times New Roman" w:eastAsia="宋体" w:cs="Times New Roman"/>
          <w:color w:val="auto"/>
          <w:highlight w:val="yellow"/>
        </w:rPr>
        <w:t>（5）同时出现两种以上不一致的，按照前款规定的顺序修正。修正后的报价经投标人确认后产生约束力，投标人不确认的，其投标无效。</w:t>
      </w:r>
    </w:p>
    <w:p>
      <w:pPr>
        <w:pStyle w:val="28"/>
        <w:spacing w:line="360" w:lineRule="auto"/>
        <w:ind w:firstLine="480" w:firstLineChars="200"/>
        <w:jc w:val="both"/>
        <w:rPr>
          <w:rFonts w:ascii="Times New Roman" w:hAnsi="Times New Roman" w:eastAsia="宋体" w:cs="Times New Roman"/>
          <w:color w:val="auto"/>
          <w:highlight w:val="yellow"/>
        </w:rPr>
      </w:pPr>
      <w:r>
        <w:rPr>
          <w:rFonts w:ascii="Times New Roman" w:hAnsi="Times New Roman" w:eastAsia="宋体" w:cs="Times New Roman"/>
          <w:color w:val="auto"/>
          <w:highlight w:val="yellow"/>
        </w:rPr>
        <w:t>28.</w:t>
      </w:r>
      <w:r>
        <w:rPr>
          <w:rFonts w:hint="eastAsia" w:ascii="Times New Roman" w:hAnsi="Times New Roman" w:eastAsia="宋体" w:cs="Times New Roman"/>
          <w:color w:val="auto"/>
          <w:highlight w:val="yellow"/>
        </w:rPr>
        <w:t>5</w:t>
      </w:r>
      <w:r>
        <w:rPr>
          <w:rFonts w:ascii="Times New Roman" w:hAnsi="Times New Roman" w:eastAsia="宋体" w:cs="Times New Roman"/>
          <w:color w:val="auto"/>
          <w:highlight w:val="yellow"/>
        </w:rPr>
        <w:t xml:space="preserve"> 评标委员会将要求投标人按上述修改错误的方法调整投标报价，投标人同意后，调整后的报价对投标人起约束作用。如果投标人不接受修改后的报价，其投标将被拒绝。</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 投标文件的澄清</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8"/>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29.2 投标人澄清、说明、答复或者补充的内容须为PDF格式并加盖电子签章后上传至天津市政府采购中心招投标系统。</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29.3 投标人的澄清、说明、答复或者补充应在规定的时间内完成，并不得超出投标文件的范围或对投标内容进行实质性的修改。</w:t>
      </w:r>
      <w:bookmarkStart w:id="8" w:name="_GoBack"/>
      <w:bookmarkEnd w:id="8"/>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29.4 澄清文件将作为投标文件的一部分，与投标文件具有同等的法律效力。</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30. 投标的评估和比较</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评标委员会将根据招标文件确定的评标原则和评标方法对确定为实质上响应招标文件要求的投标进行评估和比较。</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31. 评标原则和评标方法</w:t>
      </w:r>
    </w:p>
    <w:p>
      <w:pPr>
        <w:pStyle w:val="28"/>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31.1 评标原则</w:t>
      </w:r>
    </w:p>
    <w:p>
      <w:pPr>
        <w:pStyle w:val="28"/>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（1）评标委员会应当按照客观、公正、审慎的原则，根据招标文件规定的评审程序、评审方法和评审标准进行独立评审。</w:t>
      </w:r>
    </w:p>
    <w:p>
      <w:pPr>
        <w:pStyle w:val="28"/>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ascii="Times New Roman" w:hAnsi="Times New Roman"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pPr>
        <w:pStyle w:val="33"/>
        <w:numPr>
          <w:ilvl w:val="0"/>
          <w:numId w:val="3"/>
        </w:numPr>
        <w:spacing w:line="480" w:lineRule="exact"/>
        <w:ind w:firstLineChars="0"/>
        <w:rPr>
          <w:sz w:val="24"/>
          <w:szCs w:val="24"/>
        </w:rPr>
      </w:pPr>
      <w:r>
        <w:rPr>
          <w:rFonts w:hint="eastAsia"/>
          <w:sz w:val="24"/>
          <w:szCs w:val="24"/>
        </w:rPr>
        <w:t>本合同为中小企业预留合同</w:t>
      </w:r>
    </w:p>
    <w:p>
      <w:pPr>
        <w:pStyle w:val="33"/>
        <w:numPr>
          <w:ilvl w:val="0"/>
          <w:numId w:val="3"/>
        </w:numPr>
        <w:spacing w:line="480" w:lineRule="exact"/>
        <w:ind w:firstLineChars="0"/>
        <w:rPr>
          <w:sz w:val="24"/>
          <w:szCs w:val="24"/>
        </w:rPr>
      </w:pPr>
      <w:r>
        <w:rPr>
          <w:rFonts w:hint="eastAsia"/>
          <w:sz w:val="24"/>
          <w:szCs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sz w:val="24"/>
          <w:szCs w:val="24"/>
        </w:rPr>
      </w:pPr>
      <w:r>
        <w:rPr>
          <w:sz w:val="24"/>
          <w:szCs w:val="24"/>
        </w:rPr>
        <w:t>一、采购内容：  （详见附件）</w:t>
      </w:r>
    </w:p>
    <w:p>
      <w:pPr>
        <w:tabs>
          <w:tab w:val="left" w:pos="1133"/>
        </w:tabs>
        <w:spacing w:line="520" w:lineRule="exact"/>
        <w:ind w:firstLine="480" w:firstLineChars="200"/>
        <w:rPr>
          <w:sz w:val="24"/>
          <w:szCs w:val="24"/>
        </w:rPr>
      </w:pPr>
      <w:r>
        <w:rPr>
          <w:sz w:val="24"/>
          <w:szCs w:val="24"/>
        </w:rPr>
        <w:t xml:space="preserve">    合同总价款：人民币  元</w:t>
      </w:r>
    </w:p>
    <w:p>
      <w:pPr>
        <w:tabs>
          <w:tab w:val="left" w:pos="1133"/>
        </w:tabs>
        <w:spacing w:line="520" w:lineRule="exact"/>
        <w:ind w:firstLine="480" w:firstLineChars="200"/>
        <w:rPr>
          <w:sz w:val="24"/>
          <w:szCs w:val="24"/>
        </w:rPr>
      </w:pPr>
      <w:r>
        <w:rPr>
          <w:sz w:val="24"/>
          <w:szCs w:val="24"/>
        </w:rPr>
        <w:t xml:space="preserve">    大写：人民币  元整</w:t>
      </w:r>
    </w:p>
    <w:p>
      <w:pPr>
        <w:tabs>
          <w:tab w:val="left" w:pos="360"/>
        </w:tabs>
        <w:spacing w:line="520" w:lineRule="exact"/>
        <w:ind w:firstLine="480" w:firstLineChars="200"/>
        <w:rPr>
          <w:sz w:val="24"/>
          <w:szCs w:val="24"/>
        </w:rPr>
      </w:pPr>
      <w:r>
        <w:rPr>
          <w:sz w:val="24"/>
          <w:szCs w:val="24"/>
        </w:rPr>
        <w:t>二、质量要求及对质量负责条件和期限：见附件。</w:t>
      </w:r>
    </w:p>
    <w:p>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80" w:firstLineChars="200"/>
        <w:rPr>
          <w:sz w:val="24"/>
          <w:szCs w:val="24"/>
        </w:rPr>
      </w:pPr>
      <w:r>
        <w:rPr>
          <w:sz w:val="24"/>
          <w:szCs w:val="24"/>
        </w:rPr>
        <w:t>四、</w:t>
      </w:r>
      <w:r>
        <w:rPr>
          <w:rFonts w:hint="eastAsia"/>
          <w:sz w:val="24"/>
          <w:szCs w:val="24"/>
        </w:rPr>
        <w:t>服务</w:t>
      </w:r>
      <w:r>
        <w:rPr>
          <w:sz w:val="24"/>
          <w:szCs w:val="24"/>
        </w:rPr>
        <w:t>时间、地点、方式：见附件。</w:t>
      </w:r>
    </w:p>
    <w:p>
      <w:pPr>
        <w:tabs>
          <w:tab w:val="left" w:pos="360"/>
        </w:tabs>
        <w:spacing w:line="520" w:lineRule="exact"/>
        <w:ind w:firstLine="480"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513" w:firstLineChars="214"/>
        <w:rPr>
          <w:sz w:val="24"/>
          <w:szCs w:val="24"/>
        </w:rPr>
      </w:pPr>
      <w:r>
        <w:rPr>
          <w:sz w:val="24"/>
          <w:szCs w:val="24"/>
        </w:rPr>
        <w:t>帐       号：</w:t>
      </w:r>
      <w:r>
        <w:rPr>
          <w:sz w:val="24"/>
          <w:szCs w:val="24"/>
          <w:u w:val="single"/>
        </w:rPr>
        <w:t xml:space="preserve">                                                   </w:t>
      </w:r>
      <w:r>
        <w:rPr>
          <w:szCs w:val="24"/>
        </w:rPr>
        <w:t>。</w:t>
      </w:r>
    </w:p>
    <w:p>
      <w:pPr>
        <w:pStyle w:val="12"/>
        <w:spacing w:line="520" w:lineRule="exact"/>
        <w:ind w:left="-105" w:leftChars="-50" w:firstLine="480"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80"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pPr>
      <w:r>
        <w:rPr>
          <w:sz w:val="24"/>
          <w:szCs w:val="24"/>
        </w:rPr>
        <w:t xml:space="preserve"> 合同特殊条款是合同一般条款的补充和修改。如果两者之间有抵触，应以特殊条款为准。</w:t>
      </w:r>
    </w:p>
    <w:p>
      <w:pPr>
        <w:tabs>
          <w:tab w:val="left" w:pos="360"/>
        </w:tabs>
        <w:spacing w:line="520" w:lineRule="exact"/>
        <w:ind w:firstLine="410" w:firstLineChars="171"/>
        <w:rPr>
          <w:sz w:val="24"/>
          <w:szCs w:val="24"/>
        </w:rPr>
      </w:pPr>
      <w:r>
        <w:rPr>
          <w:sz w:val="24"/>
          <w:szCs w:val="24"/>
        </w:rPr>
        <w:t xml:space="preserve"> 合同特殊条款由</w:t>
      </w:r>
      <w:r>
        <w:rPr>
          <w:rFonts w:hint="eastAsia"/>
          <w:sz w:val="24"/>
          <w:szCs w:val="24"/>
        </w:rPr>
        <w:t>供方</w:t>
      </w:r>
      <w:r>
        <w:rPr>
          <w:sz w:val="24"/>
          <w:szCs w:val="24"/>
        </w:rPr>
        <w:t>和需方根据项目的具体情况协商拟订。</w:t>
      </w:r>
    </w:p>
    <w:p>
      <w:pPr>
        <w:autoSpaceDE w:val="0"/>
        <w:autoSpaceDN w:val="0"/>
        <w:adjustRightInd w:val="0"/>
        <w:spacing w:line="360" w:lineRule="auto"/>
        <w:ind w:firstLine="480" w:firstLineChars="200"/>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kern w:val="0"/>
          <w:sz w:val="24"/>
        </w:rPr>
      </w:pPr>
      <w:r>
        <w:rPr>
          <w:b/>
          <w:kern w:val="0"/>
          <w:sz w:val="24"/>
        </w:rPr>
        <w:t>（加盖电子签章）</w:t>
      </w:r>
    </w:p>
    <w:p>
      <w:pPr>
        <w:spacing w:before="93" w:beforeLines="30" w:after="218" w:afterLines="70" w:line="540" w:lineRule="exact"/>
        <w:ind w:left="630" w:leftChars="300"/>
        <w:rPr>
          <w:b/>
          <w:sz w:val="34"/>
          <w:szCs w:val="34"/>
        </w:rPr>
      </w:pPr>
      <w:r>
        <w:rPr>
          <w:b/>
          <w:sz w:val="34"/>
          <w:szCs w:val="34"/>
        </w:rPr>
        <w:t>项目编号：</w:t>
      </w:r>
    </w:p>
    <w:p>
      <w:pPr>
        <w:spacing w:before="93" w:beforeLines="30" w:after="218" w:afterLines="70" w:line="540" w:lineRule="exact"/>
        <w:ind w:left="2152" w:leftChars="300" w:hanging="1522" w:hangingChars="446"/>
        <w:rPr>
          <w:b/>
          <w:sz w:val="34"/>
          <w:szCs w:val="34"/>
        </w:rPr>
      </w:pPr>
      <w:r>
        <w:rPr>
          <w:b/>
          <w:sz w:val="34"/>
          <w:szCs w:val="34"/>
        </w:rPr>
        <w:t>项目名称：</w:t>
      </w:r>
    </w:p>
    <w:p>
      <w:pPr>
        <w:spacing w:before="93" w:beforeLines="30" w:after="218" w:afterLines="70" w:line="540" w:lineRule="exact"/>
        <w:ind w:left="2152" w:leftChars="300" w:hanging="1522" w:hangingChars="446"/>
        <w:rPr>
          <w:b/>
          <w:sz w:val="34"/>
          <w:szCs w:val="34"/>
        </w:rPr>
      </w:pPr>
      <w:r>
        <w:rPr>
          <w:b/>
          <w:sz w:val="34"/>
          <w:szCs w:val="34"/>
        </w:rPr>
        <w:t>所投包号：</w:t>
      </w:r>
    </w:p>
    <w:p>
      <w:pPr>
        <w:spacing w:before="93" w:beforeLines="30" w:after="218" w:afterLines="70" w:line="540" w:lineRule="exact"/>
        <w:ind w:left="630" w:leftChars="300"/>
        <w:rPr>
          <w:b/>
          <w:sz w:val="34"/>
          <w:szCs w:val="34"/>
        </w:rPr>
      </w:pPr>
      <w:r>
        <w:rPr>
          <w:b/>
          <w:sz w:val="34"/>
          <w:szCs w:val="34"/>
        </w:rPr>
        <w:t>投标单位名称：</w:t>
      </w:r>
    </w:p>
    <w:p>
      <w:pPr>
        <w:spacing w:before="93" w:beforeLines="30" w:after="218" w:afterLines="70" w:line="540" w:lineRule="exact"/>
        <w:ind w:left="630" w:leftChars="300"/>
        <w:rPr>
          <w:b/>
          <w:sz w:val="34"/>
          <w:szCs w:val="34"/>
        </w:rPr>
      </w:pPr>
      <w:r>
        <w:rPr>
          <w:rFonts w:hint="eastAsia"/>
          <w:b/>
          <w:sz w:val="34"/>
          <w:szCs w:val="34"/>
        </w:rPr>
        <w:t>投标代表人姓名：</w:t>
      </w:r>
    </w:p>
    <w:p>
      <w:pPr>
        <w:spacing w:before="93" w:beforeLines="30" w:after="218" w:afterLines="70" w:line="540" w:lineRule="exact"/>
        <w:ind w:left="630" w:leftChars="300"/>
        <w:rPr>
          <w:b/>
          <w:sz w:val="34"/>
          <w:szCs w:val="34"/>
        </w:rPr>
      </w:pPr>
    </w:p>
    <w:p>
      <w:pPr>
        <w:spacing w:before="93" w:beforeLines="30" w:after="218" w:afterLines="70" w:line="540" w:lineRule="exact"/>
        <w:ind w:left="630" w:leftChars="300"/>
        <w:rPr>
          <w:b/>
          <w:sz w:val="34"/>
          <w:szCs w:val="34"/>
        </w:rPr>
      </w:pPr>
    </w:p>
    <w:p>
      <w:pPr>
        <w:spacing w:before="93" w:beforeLines="30" w:after="218" w:afterLines="70" w:line="540" w:lineRule="exact"/>
        <w:ind w:left="630" w:leftChars="300"/>
        <w:rPr>
          <w:b/>
          <w:sz w:val="34"/>
          <w:szCs w:val="34"/>
        </w:rPr>
      </w:pPr>
    </w:p>
    <w:p>
      <w:pPr>
        <w:spacing w:before="93" w:beforeLines="30" w:after="218" w:afterLines="70" w:line="540" w:lineRule="exact"/>
        <w:ind w:left="630" w:leftChars="300"/>
        <w:rPr>
          <w:b/>
          <w:bCs/>
          <w:sz w:val="24"/>
        </w:rPr>
      </w:pPr>
      <w:r>
        <w:rPr>
          <w:b/>
          <w:sz w:val="34"/>
          <w:szCs w:val="34"/>
        </w:rPr>
        <w:t>投标日期：   年   月   日</w:t>
      </w:r>
    </w:p>
    <w:p>
      <w:pPr>
        <w:widowControl/>
        <w:jc w:val="left"/>
        <w:rPr>
          <w:b/>
          <w:bCs/>
          <w:sz w:val="24"/>
        </w:rPr>
      </w:pPr>
      <w:r>
        <w:rPr>
          <w:b/>
          <w:bCs/>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w:t>
      </w:r>
      <w:r>
        <w:rPr>
          <w:rFonts w:hint="eastAsia"/>
          <w:b/>
          <w:bCs/>
          <w:sz w:val="24"/>
        </w:rPr>
        <w:t>投标人</w:t>
      </w:r>
      <w:r>
        <w:rPr>
          <w:b/>
          <w:bCs/>
          <w:sz w:val="24"/>
        </w:rPr>
        <w:t>自行编制）</w:t>
      </w:r>
    </w:p>
    <w:p>
      <w:pPr>
        <w:widowControl/>
        <w:jc w:val="center"/>
        <w:rPr>
          <w:b/>
          <w:sz w:val="24"/>
        </w:rPr>
      </w:pP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sz w:val="24"/>
        </w:rPr>
      </w:pPr>
      <w:r>
        <w:rPr>
          <w:sz w:val="24"/>
        </w:rPr>
        <w:br w:type="page"/>
      </w:r>
    </w:p>
    <w:p>
      <w:pPr>
        <w:widowControl/>
        <w:jc w:val="left"/>
        <w:rPr>
          <w:b/>
          <w:bCs/>
          <w:sz w:val="24"/>
        </w:rPr>
      </w:pPr>
      <w:r>
        <w:rPr>
          <w:b/>
          <w:sz w:val="24"/>
        </w:rPr>
        <w:t>附件1</w:t>
      </w:r>
    </w:p>
    <w:p>
      <w:pPr>
        <w:autoSpaceDN w:val="0"/>
        <w:spacing w:line="360" w:lineRule="auto"/>
        <w:jc w:val="center"/>
        <w:rPr>
          <w:b/>
          <w:bCs/>
          <w:sz w:val="24"/>
        </w:rPr>
      </w:pPr>
      <w:r>
        <w:rPr>
          <w:b/>
          <w:bCs/>
          <w:sz w:val="24"/>
        </w:rPr>
        <w:t>投标书</w:t>
      </w:r>
    </w:p>
    <w:p>
      <w:pPr>
        <w:spacing w:line="360" w:lineRule="auto"/>
        <w:rPr>
          <w:sz w:val="24"/>
        </w:rPr>
      </w:pPr>
      <w:r>
        <w:rPr>
          <w:sz w:val="24"/>
        </w:rPr>
        <w:t>致：天津市政府采购中心</w:t>
      </w:r>
    </w:p>
    <w:p>
      <w:pPr>
        <w:spacing w:line="360" w:lineRule="auto"/>
        <w:ind w:firstLine="480"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pPr>
        <w:spacing w:line="360" w:lineRule="auto"/>
        <w:ind w:firstLine="480" w:firstLineChars="200"/>
        <w:rPr>
          <w:sz w:val="24"/>
        </w:rPr>
      </w:pPr>
      <w:r>
        <w:rPr>
          <w:sz w:val="24"/>
        </w:rPr>
        <w:t>据此函，签字代表宣布同意如下：</w:t>
      </w:r>
    </w:p>
    <w:p>
      <w:pPr>
        <w:spacing w:line="360" w:lineRule="auto"/>
        <w:ind w:firstLine="480" w:firstLineChars="200"/>
        <w:rPr>
          <w:sz w:val="24"/>
        </w:rPr>
      </w:pPr>
      <w:r>
        <w:rPr>
          <w:sz w:val="24"/>
        </w:rPr>
        <w:t>1. 所附投标报价表中规定的应提供和交付的服务投标总价为：</w:t>
      </w:r>
    </w:p>
    <w:p>
      <w:pPr>
        <w:spacing w:line="360" w:lineRule="auto"/>
        <w:ind w:firstLine="480" w:firstLineChars="200"/>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pPr>
        <w:spacing w:line="360" w:lineRule="auto"/>
        <w:ind w:firstLine="480" w:firstLineChars="200"/>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pPr>
        <w:spacing w:line="360" w:lineRule="auto"/>
        <w:ind w:firstLine="480" w:firstLineChars="200"/>
        <w:rPr>
          <w:sz w:val="24"/>
        </w:rPr>
      </w:pPr>
      <w:r>
        <w:rPr>
          <w:sz w:val="24"/>
        </w:rPr>
        <w:t>……</w:t>
      </w:r>
    </w:p>
    <w:p>
      <w:pPr>
        <w:spacing w:line="360" w:lineRule="auto"/>
        <w:ind w:firstLine="480" w:firstLineChars="200"/>
        <w:rPr>
          <w:sz w:val="24"/>
        </w:rPr>
      </w:pPr>
      <w:r>
        <w:rPr>
          <w:sz w:val="24"/>
        </w:rPr>
        <w:t>2. 我公司将按招标文件的规定履行合同责任和义务。</w:t>
      </w:r>
    </w:p>
    <w:p>
      <w:pPr>
        <w:spacing w:line="360" w:lineRule="auto"/>
        <w:ind w:firstLine="480"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80" w:firstLineChars="200"/>
        <w:rPr>
          <w:sz w:val="24"/>
        </w:rPr>
      </w:pPr>
      <w:r>
        <w:rPr>
          <w:sz w:val="24"/>
        </w:rPr>
        <w:t>4. 我公司的投标有效期为开标之日起60天。</w:t>
      </w:r>
    </w:p>
    <w:p>
      <w:pPr>
        <w:spacing w:line="360" w:lineRule="auto"/>
        <w:ind w:firstLine="480"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80"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80"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80"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80"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80"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80"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80" w:firstLineChars="200"/>
        <w:rPr>
          <w:sz w:val="24"/>
        </w:rPr>
      </w:pPr>
      <w:r>
        <w:rPr>
          <w:rFonts w:hint="eastAsia"/>
          <w:sz w:val="24"/>
        </w:rPr>
        <w:t>纳税人识别号：</w:t>
      </w:r>
    </w:p>
    <w:p>
      <w:pPr>
        <w:spacing w:line="360" w:lineRule="auto"/>
        <w:ind w:firstLine="480" w:firstLineChars="200"/>
        <w:rPr>
          <w:sz w:val="24"/>
        </w:rPr>
      </w:pPr>
      <w:r>
        <w:rPr>
          <w:rFonts w:hint="eastAsia"/>
          <w:sz w:val="24"/>
        </w:rPr>
        <w:t>地址、电话：</w:t>
      </w:r>
    </w:p>
    <w:p>
      <w:pPr>
        <w:spacing w:line="360" w:lineRule="auto"/>
        <w:ind w:firstLine="480" w:firstLineChars="200"/>
        <w:rPr>
          <w:sz w:val="24"/>
        </w:rPr>
      </w:pPr>
      <w:r>
        <w:rPr>
          <w:rFonts w:hint="eastAsia"/>
          <w:sz w:val="24"/>
        </w:rPr>
        <w:t>开户行及账号：</w:t>
      </w:r>
    </w:p>
    <w:p>
      <w:pPr>
        <w:spacing w:line="360" w:lineRule="auto"/>
        <w:ind w:firstLine="480" w:firstLineChars="200"/>
        <w:rPr>
          <w:sz w:val="24"/>
        </w:rPr>
      </w:pPr>
      <w:r>
        <w:rPr>
          <w:rFonts w:hint="eastAsia"/>
          <w:sz w:val="24"/>
        </w:rPr>
        <w:t>开具发票类型：□增值税专用发票         □增值税普通发票</w:t>
      </w:r>
    </w:p>
    <w:p>
      <w:pPr>
        <w:spacing w:line="360" w:lineRule="auto"/>
        <w:ind w:firstLine="480"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82" w:firstLineChars="200"/>
        <w:rPr>
          <w:b/>
          <w:sz w:val="24"/>
        </w:rPr>
      </w:pPr>
      <w:r>
        <w:rPr>
          <w:rFonts w:hint="eastAsia"/>
          <w:b/>
          <w:sz w:val="24"/>
        </w:rPr>
        <w:t>□</w:t>
      </w:r>
      <w:r>
        <w:rPr>
          <w:b/>
          <w:sz w:val="24"/>
        </w:rPr>
        <w:t>上门自取</w:t>
      </w:r>
    </w:p>
    <w:p>
      <w:pPr>
        <w:spacing w:line="360" w:lineRule="auto"/>
        <w:ind w:firstLine="480" w:firstLineChars="200"/>
        <w:rPr>
          <w:sz w:val="24"/>
        </w:rPr>
      </w:pPr>
    </w:p>
    <w:p>
      <w:pPr>
        <w:spacing w:line="360" w:lineRule="auto"/>
        <w:ind w:firstLine="482" w:firstLineChars="200"/>
        <w:rPr>
          <w:b/>
          <w:sz w:val="24"/>
        </w:rPr>
      </w:pPr>
      <w:r>
        <w:rPr>
          <w:rFonts w:hint="eastAsia"/>
          <w:b/>
          <w:sz w:val="24"/>
        </w:rPr>
        <w:t>□</w:t>
      </w:r>
      <w:r>
        <w:rPr>
          <w:b/>
          <w:sz w:val="24"/>
        </w:rPr>
        <w:t>到付邮寄</w:t>
      </w:r>
    </w:p>
    <w:p>
      <w:pPr>
        <w:spacing w:line="360" w:lineRule="auto"/>
        <w:ind w:firstLine="480" w:firstLineChars="200"/>
        <w:rPr>
          <w:sz w:val="24"/>
        </w:rPr>
      </w:pPr>
      <w:r>
        <w:rPr>
          <w:sz w:val="24"/>
        </w:rPr>
        <w:t>邮寄地址</w:t>
      </w:r>
      <w:r>
        <w:rPr>
          <w:rFonts w:hint="eastAsia"/>
          <w:sz w:val="24"/>
        </w:rPr>
        <w:t>、邮编</w:t>
      </w:r>
      <w:r>
        <w:rPr>
          <w:sz w:val="24"/>
        </w:rPr>
        <w:t>：</w:t>
      </w:r>
    </w:p>
    <w:p>
      <w:pPr>
        <w:spacing w:line="360" w:lineRule="auto"/>
        <w:ind w:firstLine="480" w:firstLineChars="200"/>
        <w:rPr>
          <w:sz w:val="24"/>
        </w:rPr>
      </w:pPr>
      <w:r>
        <w:rPr>
          <w:sz w:val="24"/>
        </w:rPr>
        <w:t>邮寄联系人、手机号码：</w:t>
      </w:r>
    </w:p>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widowControl/>
        <w:jc w:val="left"/>
        <w:rPr>
          <w:b/>
          <w:sz w:val="24"/>
        </w:rPr>
      </w:pPr>
      <w:r>
        <w:rPr>
          <w:b/>
          <w:sz w:val="24"/>
        </w:rPr>
        <w:t>附件2</w:t>
      </w:r>
    </w:p>
    <w:p>
      <w:pPr>
        <w:autoSpaceDN w:val="0"/>
        <w:spacing w:line="360" w:lineRule="auto"/>
        <w:jc w:val="center"/>
        <w:rPr>
          <w:b/>
          <w:bCs/>
          <w:sz w:val="24"/>
        </w:rPr>
      </w:pPr>
      <w:r>
        <w:rPr>
          <w:b/>
          <w:bCs/>
          <w:sz w:val="24"/>
        </w:rPr>
        <w:t>开标一览表</w:t>
      </w:r>
    </w:p>
    <w:p>
      <w:pPr>
        <w:ind w:right="84"/>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sz w:val="24"/>
              </w:rPr>
              <w:t>包号</w:t>
            </w:r>
          </w:p>
        </w:tc>
        <w:tc>
          <w:tcPr>
            <w:tcW w:w="1278" w:type="pct"/>
            <w:vAlign w:val="center"/>
          </w:tcPr>
          <w:p>
            <w:pPr>
              <w:spacing w:line="460" w:lineRule="exact"/>
              <w:jc w:val="center"/>
              <w:rPr>
                <w:sz w:val="24"/>
              </w:rPr>
            </w:pPr>
            <w:r>
              <w:rPr>
                <w:sz w:val="24"/>
              </w:rPr>
              <w:t>服务名称</w:t>
            </w:r>
          </w:p>
        </w:tc>
        <w:tc>
          <w:tcPr>
            <w:tcW w:w="806" w:type="pct"/>
            <w:vAlign w:val="center"/>
          </w:tcPr>
          <w:p>
            <w:pPr>
              <w:spacing w:line="460" w:lineRule="exact"/>
              <w:jc w:val="center"/>
              <w:rPr>
                <w:sz w:val="24"/>
              </w:rPr>
            </w:pPr>
            <w:r>
              <w:rPr>
                <w:sz w:val="24"/>
              </w:rPr>
              <w:t>数量</w:t>
            </w:r>
          </w:p>
        </w:tc>
        <w:tc>
          <w:tcPr>
            <w:tcW w:w="1202" w:type="pct"/>
            <w:vAlign w:val="center"/>
          </w:tcPr>
          <w:p>
            <w:pPr>
              <w:spacing w:line="460" w:lineRule="exact"/>
              <w:jc w:val="center"/>
              <w:rPr>
                <w:sz w:val="24"/>
              </w:rPr>
            </w:pPr>
            <w:r>
              <w:rPr>
                <w:sz w:val="24"/>
              </w:rPr>
              <w:t>投标总价</w:t>
            </w:r>
          </w:p>
        </w:tc>
        <w:tc>
          <w:tcPr>
            <w:tcW w:w="984"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sz w:val="24"/>
        </w:rPr>
      </w:pPr>
    </w:p>
    <w:p>
      <w:pPr>
        <w:spacing w:line="360" w:lineRule="auto"/>
        <w:ind w:right="84" w:firstLine="42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right="84" w:firstLine="420"/>
        <w:rPr>
          <w:sz w:val="24"/>
        </w:rPr>
      </w:pPr>
    </w:p>
    <w:p>
      <w:pPr>
        <w:widowControl/>
        <w:jc w:val="left"/>
        <w:rPr>
          <w:sz w:val="24"/>
        </w:rPr>
      </w:pPr>
      <w:r>
        <w:rPr>
          <w:sz w:val="24"/>
        </w:rPr>
        <w:br w:type="page"/>
      </w:r>
    </w:p>
    <w:p>
      <w:pPr>
        <w:tabs>
          <w:tab w:val="left" w:pos="360"/>
        </w:tabs>
        <w:spacing w:after="312" w:afterLines="100" w:line="360" w:lineRule="auto"/>
        <w:rPr>
          <w:b/>
          <w:sz w:val="24"/>
        </w:rPr>
      </w:pPr>
      <w:r>
        <w:rPr>
          <w:b/>
          <w:sz w:val="24"/>
        </w:rPr>
        <w:t>附件3</w:t>
      </w:r>
    </w:p>
    <w:p>
      <w:pPr>
        <w:autoSpaceDN w:val="0"/>
        <w:spacing w:line="360" w:lineRule="auto"/>
        <w:jc w:val="center"/>
        <w:rPr>
          <w:b/>
          <w:bCs/>
          <w:sz w:val="24"/>
        </w:rPr>
      </w:pPr>
      <w:r>
        <w:rPr>
          <w:b/>
          <w:bCs/>
          <w:sz w:val="24"/>
        </w:rPr>
        <w:t>开标分项一览表</w:t>
      </w:r>
    </w:p>
    <w:p>
      <w:pPr>
        <w:ind w:right="84"/>
        <w:rPr>
          <w:sz w:val="24"/>
        </w:rPr>
      </w:pP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960" w:firstLineChars="2900"/>
        <w:rPr>
          <w:sz w:val="24"/>
        </w:rPr>
      </w:pPr>
      <w:r>
        <w:rPr>
          <w:sz w:val="24"/>
        </w:rPr>
        <w:t>单位：元</w:t>
      </w:r>
    </w:p>
    <w:tbl>
      <w:tblPr>
        <w:tblStyle w:val="21"/>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kern w:val="0"/>
                <w:sz w:val="24"/>
                <w:szCs w:val="24"/>
              </w:rPr>
            </w:pPr>
            <w:r>
              <w:rPr>
                <w:b/>
                <w:bCs/>
                <w:kern w:val="0"/>
                <w:sz w:val="24"/>
                <w:szCs w:val="24"/>
              </w:rPr>
              <w:t>项号</w:t>
            </w:r>
          </w:p>
        </w:tc>
        <w:tc>
          <w:tcPr>
            <w:tcW w:w="2349" w:type="dxa"/>
            <w:vAlign w:val="center"/>
          </w:tcPr>
          <w:p>
            <w:pPr>
              <w:widowControl/>
              <w:jc w:val="center"/>
              <w:rPr>
                <w:b/>
                <w:bCs/>
                <w:kern w:val="0"/>
                <w:sz w:val="24"/>
                <w:szCs w:val="24"/>
              </w:rPr>
            </w:pPr>
            <w:r>
              <w:rPr>
                <w:b/>
                <w:bCs/>
                <w:kern w:val="0"/>
                <w:sz w:val="24"/>
                <w:szCs w:val="24"/>
              </w:rPr>
              <w:t>服务名称</w:t>
            </w:r>
          </w:p>
        </w:tc>
        <w:tc>
          <w:tcPr>
            <w:tcW w:w="1701" w:type="dxa"/>
            <w:vAlign w:val="center"/>
          </w:tcPr>
          <w:p>
            <w:pPr>
              <w:widowControl/>
              <w:jc w:val="center"/>
              <w:rPr>
                <w:b/>
                <w:bCs/>
                <w:kern w:val="0"/>
                <w:sz w:val="24"/>
                <w:szCs w:val="24"/>
              </w:rPr>
            </w:pPr>
            <w:r>
              <w:rPr>
                <w:b/>
                <w:bCs/>
                <w:kern w:val="0"/>
                <w:sz w:val="24"/>
                <w:szCs w:val="24"/>
              </w:rPr>
              <w:t>总价</w:t>
            </w:r>
          </w:p>
        </w:tc>
        <w:tc>
          <w:tcPr>
            <w:tcW w:w="2238" w:type="dxa"/>
            <w:vAlign w:val="center"/>
          </w:tcPr>
          <w:p>
            <w:pPr>
              <w:widowControl/>
              <w:jc w:val="center"/>
              <w:rPr>
                <w:b/>
                <w:bCs/>
                <w:kern w:val="0"/>
                <w:sz w:val="24"/>
                <w:szCs w:val="24"/>
              </w:rPr>
            </w:pPr>
            <w:r>
              <w:rPr>
                <w:b/>
                <w:bCs/>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kern w:val="0"/>
                <w:sz w:val="24"/>
                <w:szCs w:val="24"/>
              </w:rPr>
            </w:pPr>
            <w:r>
              <w:rPr>
                <w:kern w:val="0"/>
                <w:sz w:val="24"/>
                <w:szCs w:val="24"/>
              </w:rPr>
              <w:t>1</w:t>
            </w:r>
          </w:p>
        </w:tc>
        <w:tc>
          <w:tcPr>
            <w:tcW w:w="2349" w:type="dxa"/>
            <w:vAlign w:val="center"/>
          </w:tcPr>
          <w:p>
            <w:pPr>
              <w:widowControl/>
              <w:jc w:val="center"/>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sz w:val="24"/>
                <w:szCs w:val="24"/>
              </w:rPr>
            </w:pPr>
            <w:r>
              <w:rPr>
                <w:sz w:val="24"/>
                <w:szCs w:val="24"/>
              </w:rPr>
              <w:t>1项</w:t>
            </w: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kern w:val="0"/>
                <w:sz w:val="24"/>
                <w:szCs w:val="24"/>
              </w:rPr>
            </w:pPr>
            <w:r>
              <w:rPr>
                <w:kern w:val="0"/>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sz w:val="24"/>
                <w:szCs w:val="24"/>
              </w:rPr>
            </w:pPr>
            <w:r>
              <w:rPr>
                <w:b/>
                <w:sz w:val="24"/>
                <w:szCs w:val="24"/>
              </w:rPr>
              <w:t>分项名称</w:t>
            </w:r>
          </w:p>
        </w:tc>
        <w:tc>
          <w:tcPr>
            <w:tcW w:w="1701" w:type="dxa"/>
            <w:vAlign w:val="center"/>
          </w:tcPr>
          <w:p>
            <w:pPr>
              <w:widowControl/>
              <w:jc w:val="center"/>
              <w:rPr>
                <w:b/>
                <w:kern w:val="0"/>
                <w:sz w:val="24"/>
                <w:szCs w:val="24"/>
              </w:rPr>
            </w:pPr>
            <w:r>
              <w:rPr>
                <w:b/>
                <w:kern w:val="0"/>
                <w:sz w:val="24"/>
                <w:szCs w:val="24"/>
              </w:rPr>
              <w:t>价格</w:t>
            </w:r>
          </w:p>
        </w:tc>
        <w:tc>
          <w:tcPr>
            <w:tcW w:w="2238" w:type="dxa"/>
            <w:vAlign w:val="center"/>
          </w:tcPr>
          <w:p>
            <w:pPr>
              <w:widowControl/>
              <w:jc w:val="center"/>
              <w:rPr>
                <w:b/>
                <w:kern w:val="0"/>
                <w:sz w:val="24"/>
                <w:szCs w:val="24"/>
              </w:rPr>
            </w:pPr>
            <w:r>
              <w:rPr>
                <w:b/>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r>
              <w:rPr>
                <w:sz w:val="24"/>
              </w:rPr>
              <w:t>管理费、税费</w:t>
            </w: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r>
              <w:rPr>
                <w:sz w:val="24"/>
              </w:rPr>
              <w:t>……</w:t>
            </w: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bl>
    <w:p>
      <w:pPr>
        <w:ind w:left="180"/>
        <w:rPr>
          <w:sz w:val="22"/>
          <w:szCs w:val="24"/>
        </w:rPr>
      </w:pPr>
      <w:r>
        <w:rPr>
          <w:sz w:val="22"/>
          <w:szCs w:val="24"/>
        </w:rPr>
        <w:t>注：1. 本表第一行填写本项目投标总价，须与附件2中投标总价保持一致。</w:t>
      </w:r>
    </w:p>
    <w:p>
      <w:pPr>
        <w:ind w:left="180" w:firstLine="440" w:firstLineChars="200"/>
      </w:pPr>
      <w:r>
        <w:rPr>
          <w:sz w:val="22"/>
          <w:szCs w:val="24"/>
        </w:rPr>
        <w:t>2. 下面应填写分项价格及分项名称（分项名称可根据实际情况增减、修改），分项价格汇总应等于总价。</w:t>
      </w: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p>
    <w:p>
      <w:pPr>
        <w:tabs>
          <w:tab w:val="left" w:pos="360"/>
        </w:tabs>
        <w:spacing w:after="312" w:afterLines="100" w:line="360" w:lineRule="auto"/>
        <w:rPr>
          <w:b/>
          <w:sz w:val="24"/>
        </w:rPr>
      </w:pPr>
      <w:r>
        <w:rPr>
          <w:b/>
          <w:sz w:val="24"/>
        </w:rPr>
        <w:t>附件4</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6"/>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（五）投标保证金和履约保证金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4. 偏离说明指招标要求与投标应答之间的不同之处。</w:t>
      </w:r>
    </w:p>
    <w:p>
      <w:pPr>
        <w:spacing w:line="360" w:lineRule="auto"/>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312" w:afterLines="100" w:line="360" w:lineRule="auto"/>
        <w:rPr>
          <w:b/>
          <w:sz w:val="24"/>
        </w:rPr>
      </w:pPr>
      <w:r>
        <w:rPr>
          <w:sz w:val="24"/>
        </w:rPr>
        <w:br w:type="page"/>
      </w:r>
      <w:r>
        <w:rPr>
          <w:b/>
          <w:sz w:val="24"/>
        </w:rPr>
        <w:t>附件5</w:t>
      </w:r>
    </w:p>
    <w:p>
      <w:pPr>
        <w:autoSpaceDN w:val="0"/>
        <w:spacing w:line="360" w:lineRule="auto"/>
        <w:jc w:val="center"/>
        <w:rPr>
          <w:b/>
          <w:bCs/>
          <w:sz w:val="24"/>
        </w:rPr>
      </w:pPr>
      <w:r>
        <w:rPr>
          <w:b/>
          <w:bCs/>
          <w:sz w:val="24"/>
        </w:rPr>
        <w:t>技术要求点对点应答表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3922"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投标人须承诺所提供的服务、人员及设备符合相关国家强制性规定。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360" w:firstLineChars="150"/>
              <w:rPr>
                <w:kern w:val="0"/>
                <w:sz w:val="24"/>
                <w:szCs w:val="21"/>
              </w:rPr>
            </w:pPr>
            <w:r>
              <w:rPr>
                <w:kern w:val="0"/>
                <w:sz w:val="24"/>
                <w:szCs w:val="21"/>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312" w:afterLines="100" w:line="360" w:lineRule="auto"/>
        <w:rPr>
          <w:b/>
          <w:sz w:val="24"/>
        </w:rPr>
      </w:pPr>
      <w:r>
        <w:rPr>
          <w:sz w:val="24"/>
        </w:rPr>
        <w:br w:type="page"/>
      </w:r>
      <w:r>
        <w:rPr>
          <w:b/>
          <w:sz w:val="24"/>
        </w:rPr>
        <w:t>附件6</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560" w:lineRule="exact"/>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spacing w:line="480" w:lineRule="auto"/>
        <w:rPr>
          <w:b/>
          <w:sz w:val="24"/>
        </w:rPr>
      </w:pPr>
      <w:r>
        <w:rPr>
          <w:rFonts w:hint="eastAsia"/>
          <w:b/>
          <w:sz w:val="24"/>
        </w:rPr>
        <w:t>附件7-1</w:t>
      </w:r>
    </w:p>
    <w:p>
      <w:pPr>
        <w:spacing w:line="480" w:lineRule="auto"/>
        <w:jc w:val="center"/>
        <w:rPr>
          <w:rFonts w:ascii="宋体" w:hAnsi="宋体"/>
          <w:b/>
          <w:sz w:val="28"/>
        </w:rPr>
      </w:pPr>
      <w:r>
        <w:rPr>
          <w:rFonts w:hint="eastAsia"/>
          <w:b/>
          <w:sz w:val="24"/>
        </w:rPr>
        <w:t>专业人员组成及任务分配</w:t>
      </w:r>
    </w:p>
    <w:p>
      <w:pPr>
        <w:spacing w:line="440" w:lineRule="exact"/>
        <w:rPr>
          <w:rFonts w:ascii="宋体" w:hAnsi="宋体"/>
          <w:sz w:val="1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669"/>
        <w:gridCol w:w="1620"/>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25" w:type="dxa"/>
            <w:tcBorders>
              <w:top w:val="single" w:color="auto" w:sz="4" w:space="0"/>
              <w:left w:val="single" w:color="auto" w:sz="4" w:space="0"/>
              <w:bottom w:val="single" w:color="auto" w:sz="4" w:space="0"/>
            </w:tcBorders>
          </w:tcPr>
          <w:p>
            <w:pPr>
              <w:spacing w:line="440" w:lineRule="exact"/>
              <w:jc w:val="center"/>
              <w:rPr>
                <w:rFonts w:ascii="宋体" w:hAnsi="宋体"/>
                <w:b/>
                <w:bCs/>
                <w:sz w:val="24"/>
              </w:rPr>
            </w:pPr>
            <w:r>
              <w:rPr>
                <w:rFonts w:hint="eastAsia" w:ascii="宋体" w:hAnsi="宋体"/>
                <w:b/>
                <w:bCs/>
                <w:sz w:val="24"/>
              </w:rPr>
              <w:t>姓名</w:t>
            </w:r>
          </w:p>
        </w:tc>
        <w:tc>
          <w:tcPr>
            <w:tcW w:w="2669" w:type="dxa"/>
            <w:tcBorders>
              <w:top w:val="single" w:color="auto" w:sz="4" w:space="0"/>
              <w:bottom w:val="single" w:color="auto" w:sz="4" w:space="0"/>
            </w:tcBorders>
          </w:tcPr>
          <w:p>
            <w:pPr>
              <w:spacing w:line="440" w:lineRule="exact"/>
              <w:jc w:val="center"/>
              <w:rPr>
                <w:rFonts w:ascii="宋体" w:hAnsi="宋体"/>
                <w:b/>
                <w:bCs/>
                <w:sz w:val="24"/>
              </w:rPr>
            </w:pPr>
            <w:r>
              <w:rPr>
                <w:rFonts w:hint="eastAsia" w:ascii="宋体" w:hAnsi="宋体"/>
                <w:b/>
                <w:bCs/>
                <w:sz w:val="24"/>
              </w:rPr>
              <w:t>职位</w:t>
            </w:r>
          </w:p>
        </w:tc>
        <w:tc>
          <w:tcPr>
            <w:tcW w:w="1620" w:type="dxa"/>
            <w:tcBorders>
              <w:top w:val="single" w:color="auto" w:sz="4" w:space="0"/>
              <w:bottom w:val="single" w:color="auto" w:sz="4" w:space="0"/>
            </w:tcBorders>
            <w:vAlign w:val="center"/>
          </w:tcPr>
          <w:p>
            <w:pPr>
              <w:spacing w:line="440" w:lineRule="exact"/>
              <w:jc w:val="center"/>
              <w:rPr>
                <w:rFonts w:ascii="宋体" w:hAnsi="宋体"/>
                <w:b/>
                <w:bCs/>
                <w:sz w:val="24"/>
              </w:rPr>
            </w:pPr>
            <w:r>
              <w:rPr>
                <w:rFonts w:hint="eastAsia" w:ascii="宋体" w:hAnsi="宋体"/>
                <w:b/>
                <w:bCs/>
                <w:sz w:val="24"/>
              </w:rPr>
              <w:t>学历</w:t>
            </w:r>
          </w:p>
        </w:tc>
        <w:tc>
          <w:tcPr>
            <w:tcW w:w="2967" w:type="dxa"/>
            <w:tcBorders>
              <w:top w:val="single" w:color="auto" w:sz="4" w:space="0"/>
              <w:bottom w:val="single" w:color="auto" w:sz="4" w:space="0"/>
              <w:right w:val="single" w:color="auto" w:sz="4" w:space="0"/>
            </w:tcBorders>
          </w:tcPr>
          <w:p>
            <w:pPr>
              <w:spacing w:line="440" w:lineRule="exact"/>
              <w:jc w:val="center"/>
              <w:rPr>
                <w:rFonts w:ascii="宋体" w:hAnsi="宋体"/>
                <w:b/>
                <w:bCs/>
                <w:sz w:val="24"/>
              </w:rPr>
            </w:pPr>
            <w:r>
              <w:rPr>
                <w:rFonts w:hint="eastAsia" w:ascii="宋体" w:hAnsi="宋体"/>
                <w:b/>
                <w:bCs/>
                <w:sz w:val="24"/>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Borders>
              <w:top w:val="nil"/>
            </w:tcBorders>
          </w:tcPr>
          <w:p>
            <w:pPr>
              <w:spacing w:line="440" w:lineRule="exact"/>
              <w:rPr>
                <w:rFonts w:ascii="宋体" w:hAnsi="宋体"/>
                <w:sz w:val="24"/>
              </w:rPr>
            </w:pPr>
          </w:p>
        </w:tc>
        <w:tc>
          <w:tcPr>
            <w:tcW w:w="2669" w:type="dxa"/>
            <w:tcBorders>
              <w:top w:val="nil"/>
            </w:tcBorders>
          </w:tcPr>
          <w:p>
            <w:pPr>
              <w:spacing w:line="440" w:lineRule="exact"/>
              <w:rPr>
                <w:rFonts w:ascii="宋体" w:hAnsi="宋体"/>
                <w:sz w:val="24"/>
              </w:rPr>
            </w:pPr>
          </w:p>
        </w:tc>
        <w:tc>
          <w:tcPr>
            <w:tcW w:w="1620" w:type="dxa"/>
            <w:tcBorders>
              <w:top w:val="nil"/>
            </w:tcBorders>
            <w:vAlign w:val="center"/>
          </w:tcPr>
          <w:p>
            <w:pPr>
              <w:spacing w:line="440" w:lineRule="exact"/>
              <w:jc w:val="center"/>
              <w:rPr>
                <w:rFonts w:ascii="宋体" w:hAnsi="宋体"/>
                <w:sz w:val="24"/>
              </w:rPr>
            </w:pPr>
          </w:p>
        </w:tc>
        <w:tc>
          <w:tcPr>
            <w:tcW w:w="2967" w:type="dxa"/>
            <w:tcBorders>
              <w:top w:val="nil"/>
            </w:tcBorders>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pPr>
              <w:spacing w:line="440" w:lineRule="exact"/>
              <w:rPr>
                <w:rFonts w:ascii="宋体" w:hAnsi="宋体"/>
                <w:sz w:val="24"/>
              </w:rPr>
            </w:pPr>
          </w:p>
        </w:tc>
        <w:tc>
          <w:tcPr>
            <w:tcW w:w="2669" w:type="dxa"/>
          </w:tcPr>
          <w:p>
            <w:pPr>
              <w:spacing w:line="440" w:lineRule="exact"/>
              <w:rPr>
                <w:rFonts w:ascii="宋体" w:hAnsi="宋体"/>
                <w:sz w:val="24"/>
              </w:rPr>
            </w:pPr>
          </w:p>
        </w:tc>
        <w:tc>
          <w:tcPr>
            <w:tcW w:w="1620" w:type="dxa"/>
            <w:vAlign w:val="center"/>
          </w:tcPr>
          <w:p>
            <w:pPr>
              <w:spacing w:line="440" w:lineRule="exact"/>
              <w:jc w:val="center"/>
              <w:rPr>
                <w:rFonts w:ascii="宋体" w:hAnsi="宋体"/>
                <w:sz w:val="24"/>
              </w:rPr>
            </w:pPr>
          </w:p>
        </w:tc>
        <w:tc>
          <w:tcPr>
            <w:tcW w:w="2967" w:type="dxa"/>
          </w:tcPr>
          <w:p>
            <w:pPr>
              <w:spacing w:line="440" w:lineRule="exact"/>
              <w:rPr>
                <w:rFonts w:ascii="宋体" w:hAnsi="宋体"/>
                <w:sz w:val="24"/>
              </w:rPr>
            </w:pPr>
          </w:p>
        </w:tc>
      </w:tr>
    </w:tbl>
    <w:p>
      <w:pPr>
        <w:spacing w:after="120" w:line="440" w:lineRule="exact"/>
        <w:rPr>
          <w:rFonts w:ascii="宋体" w:hAnsi="宋体"/>
          <w:b/>
          <w:bCs/>
          <w:sz w:val="24"/>
        </w:rPr>
        <w:sectPr>
          <w:headerReference r:id="rId5" w:type="first"/>
          <w:footerReference r:id="rId8" w:type="first"/>
          <w:headerReference r:id="rId4" w:type="default"/>
          <w:footerReference r:id="rId6" w:type="default"/>
          <w:footerReference r:id="rId7" w:type="even"/>
          <w:pgSz w:w="11907" w:h="16840"/>
          <w:pgMar w:top="1440" w:right="1797" w:bottom="1440" w:left="1797" w:header="851" w:footer="992" w:gutter="0"/>
          <w:pgNumType w:start="1"/>
          <w:cols w:space="425" w:num="1"/>
          <w:titlePg/>
          <w:docGrid w:type="lines" w:linePitch="312" w:charSpace="0"/>
        </w:sectPr>
      </w:pPr>
      <w:r>
        <w:rPr>
          <w:rFonts w:hint="eastAsia" w:ascii="宋体" w:hAnsi="宋体"/>
          <w:b/>
          <w:bCs/>
          <w:sz w:val="24"/>
        </w:rPr>
        <w:t>注：列出所有参加本项目专业人员名单及在本项目中所承担职位和工作。</w:t>
      </w:r>
    </w:p>
    <w:p>
      <w:pPr>
        <w:spacing w:line="480" w:lineRule="auto"/>
        <w:rPr>
          <w:b/>
          <w:sz w:val="24"/>
        </w:rPr>
      </w:pPr>
      <w:r>
        <w:rPr>
          <w:rFonts w:hint="eastAsia"/>
          <w:b/>
          <w:sz w:val="24"/>
        </w:rPr>
        <w:t>附件7-2</w:t>
      </w:r>
    </w:p>
    <w:p>
      <w:pPr>
        <w:spacing w:line="480" w:lineRule="auto"/>
        <w:jc w:val="center"/>
        <w:rPr>
          <w:rFonts w:ascii="宋体" w:hAnsi="宋体"/>
          <w:b/>
          <w:sz w:val="30"/>
        </w:rPr>
      </w:pPr>
      <w:r>
        <w:rPr>
          <w:sz w:val="24"/>
        </w:rPr>
        <w:tab/>
      </w:r>
      <w:r>
        <w:rPr>
          <w:b/>
          <w:sz w:val="24"/>
        </w:rPr>
        <w:tab/>
      </w:r>
      <w:r>
        <w:rPr>
          <w:rFonts w:hint="eastAsia"/>
          <w:b/>
          <w:sz w:val="24"/>
        </w:rPr>
        <w:t>专业人员简历格式</w:t>
      </w:r>
    </w:p>
    <w:p>
      <w:pPr>
        <w:spacing w:after="120" w:line="440" w:lineRule="exact"/>
        <w:rPr>
          <w:rFonts w:ascii="宋体" w:hAnsi="宋体"/>
          <w:sz w:val="24"/>
        </w:rPr>
      </w:pPr>
      <w:r>
        <w:rPr>
          <w:rFonts w:hint="eastAsia" w:ascii="宋体" w:hAnsi="宋体"/>
          <w:sz w:val="24"/>
        </w:rPr>
        <w:t>本项目岗位：</w:t>
      </w:r>
      <w:r>
        <w:rPr>
          <w:rFonts w:hint="eastAsia" w:ascii="宋体" w:hAnsi="宋体"/>
          <w:sz w:val="24"/>
          <w:u w:val="single"/>
        </w:rPr>
        <w:t xml:space="preserve">                                         </w:t>
      </w:r>
    </w:p>
    <w:p>
      <w:pPr>
        <w:spacing w:after="120" w:line="440" w:lineRule="exact"/>
        <w:rPr>
          <w:rFonts w:ascii="宋体" w:hAnsi="宋体"/>
          <w:sz w:val="24"/>
          <w:u w:val="single"/>
        </w:rPr>
      </w:pPr>
      <w:r>
        <w:rPr>
          <w:rFonts w:hint="eastAsia" w:ascii="宋体" w:hAnsi="宋体"/>
          <w:sz w:val="24"/>
        </w:rPr>
        <w:t>人员姓名：</w:t>
      </w:r>
      <w:r>
        <w:rPr>
          <w:rFonts w:hint="eastAsia" w:ascii="宋体" w:hAnsi="宋体"/>
          <w:sz w:val="24"/>
          <w:u w:val="single"/>
        </w:rPr>
        <w:t xml:space="preserve">                                          </w:t>
      </w:r>
    </w:p>
    <w:p>
      <w:pPr>
        <w:spacing w:after="120" w:line="440" w:lineRule="exact"/>
        <w:rPr>
          <w:rFonts w:ascii="宋体" w:hAnsi="宋体"/>
          <w:sz w:val="24"/>
          <w:u w:val="single"/>
        </w:rPr>
      </w:pPr>
      <w:r>
        <w:rPr>
          <w:rFonts w:hint="eastAsia" w:ascii="宋体" w:hAnsi="宋体"/>
          <w:sz w:val="24"/>
        </w:rPr>
        <w:t>学历、专业：</w:t>
      </w:r>
      <w:r>
        <w:rPr>
          <w:rFonts w:hint="eastAsia" w:ascii="宋体" w:hAnsi="宋体"/>
          <w:sz w:val="24"/>
          <w:u w:val="single"/>
        </w:rPr>
        <w:t xml:space="preserve">                               　        </w:t>
      </w:r>
    </w:p>
    <w:p>
      <w:pPr>
        <w:spacing w:after="120" w:line="440" w:lineRule="exact"/>
        <w:rPr>
          <w:rFonts w:ascii="宋体" w:hAnsi="宋体"/>
          <w:sz w:val="24"/>
        </w:rPr>
      </w:pPr>
      <w:r>
        <w:rPr>
          <w:rFonts w:hint="eastAsia" w:ascii="宋体" w:hAnsi="宋体"/>
          <w:sz w:val="24"/>
        </w:rPr>
        <w:t xml:space="preserve">所获证书： </w:t>
      </w:r>
      <w:r>
        <w:rPr>
          <w:rFonts w:hint="eastAsia" w:ascii="宋体" w:hAnsi="宋体"/>
          <w:sz w:val="24"/>
          <w:u w:val="single"/>
        </w:rPr>
        <w:t xml:space="preserve">                                           </w:t>
      </w:r>
    </w:p>
    <w:p>
      <w:pPr>
        <w:spacing w:after="120" w:line="440" w:lineRule="exact"/>
        <w:rPr>
          <w:rFonts w:ascii="宋体" w:hAnsi="宋体"/>
          <w:sz w:val="24"/>
        </w:rPr>
      </w:pPr>
      <w:r>
        <w:rPr>
          <w:rFonts w:hint="eastAsia" w:ascii="宋体" w:hAnsi="宋体"/>
          <w:sz w:val="24"/>
        </w:rPr>
        <w:t>出生日期：</w:t>
      </w:r>
      <w:r>
        <w:rPr>
          <w:rFonts w:hint="eastAsia" w:ascii="宋体" w:hAnsi="宋体"/>
          <w:sz w:val="24"/>
          <w:u w:val="single"/>
        </w:rPr>
        <w:t xml:space="preserve">                                   　      </w:t>
      </w:r>
    </w:p>
    <w:p>
      <w:pPr>
        <w:spacing w:after="120" w:line="440" w:lineRule="exact"/>
        <w:rPr>
          <w:rFonts w:ascii="宋体" w:hAnsi="宋体"/>
          <w:sz w:val="24"/>
        </w:rPr>
      </w:pPr>
      <w:r>
        <w:rPr>
          <w:rFonts w:hint="eastAsia" w:ascii="宋体" w:hAnsi="宋体"/>
          <w:sz w:val="24"/>
        </w:rPr>
        <w:t>在此公司工作年限：</w:t>
      </w:r>
      <w:r>
        <w:rPr>
          <w:rFonts w:hint="eastAsia" w:ascii="宋体" w:hAnsi="宋体"/>
          <w:sz w:val="24"/>
          <w:u w:val="single"/>
        </w:rPr>
        <w:t xml:space="preserve">         　　 　　　　　　　　　　</w:t>
      </w:r>
    </w:p>
    <w:p>
      <w:pPr>
        <w:spacing w:after="120" w:line="440" w:lineRule="exact"/>
        <w:rPr>
          <w:rFonts w:ascii="宋体" w:hAnsi="宋体"/>
          <w:b/>
          <w:sz w:val="24"/>
        </w:rPr>
      </w:pPr>
      <w:r>
        <w:rPr>
          <w:rFonts w:hint="eastAsia" w:ascii="宋体" w:hAnsi="宋体"/>
          <w:b/>
          <w:sz w:val="24"/>
        </w:rPr>
        <w:t>关键资格条件：</w:t>
      </w:r>
    </w:p>
    <w:p>
      <w:pPr>
        <w:pStyle w:val="6"/>
        <w:pBdr>
          <w:bottom w:val="single" w:color="auto" w:sz="6" w:space="1"/>
        </w:pBdr>
        <w:rPr>
          <w:rFonts w:ascii="宋体" w:hAnsi="宋体"/>
          <w:b/>
          <w:i/>
          <w:sz w:val="24"/>
        </w:rPr>
      </w:pPr>
      <w:r>
        <w:rPr>
          <w:rFonts w:hint="eastAsia" w:ascii="宋体" w:hAnsi="宋体"/>
          <w:b/>
          <w:i/>
          <w:sz w:val="24"/>
        </w:rPr>
        <w:t>（概述此人员与本任务最相关的经验，描述其在以前的有关任务中承担的责任，给出日期和地点。）</w:t>
      </w:r>
    </w:p>
    <w:p>
      <w:pPr>
        <w:spacing w:after="120" w:line="440" w:lineRule="exact"/>
        <w:rPr>
          <w:rFonts w:ascii="宋体" w:hAnsi="宋体"/>
          <w:b/>
          <w:sz w:val="24"/>
        </w:rPr>
      </w:pPr>
      <w:r>
        <w:rPr>
          <w:rFonts w:hint="eastAsia" w:ascii="宋体" w:hAnsi="宋体"/>
          <w:b/>
          <w:sz w:val="24"/>
        </w:rPr>
        <w:t>教育：</w:t>
      </w:r>
    </w:p>
    <w:p>
      <w:pPr>
        <w:spacing w:after="120" w:line="440" w:lineRule="exact"/>
        <w:rPr>
          <w:rFonts w:ascii="宋体" w:hAnsi="宋体"/>
          <w:i/>
          <w:sz w:val="24"/>
        </w:rPr>
      </w:pPr>
      <w:r>
        <w:rPr>
          <w:rFonts w:hint="eastAsia" w:ascii="宋体" w:hAnsi="宋体"/>
          <w:i/>
          <w:sz w:val="24"/>
        </w:rPr>
        <w:t>（概述此人员的大学和其他专业化教育和培训情况，给出学校的名称、入学日期、所获学位。）</w:t>
      </w:r>
    </w:p>
    <w:p>
      <w:pPr>
        <w:spacing w:line="440" w:lineRule="exact"/>
        <w:rPr>
          <w:rFonts w:ascii="宋体" w:hAnsi="宋体"/>
          <w:i/>
          <w:sz w:val="24"/>
          <w:u w:val="single"/>
        </w:rPr>
      </w:pPr>
      <w:r>
        <w:rPr>
          <w:rFonts w:hint="eastAsia" w:ascii="宋体" w:hAnsi="宋体"/>
          <w:i/>
          <w:sz w:val="24"/>
          <w:u w:val="single"/>
        </w:rPr>
        <w:t xml:space="preserve">                                                                            </w:t>
      </w:r>
    </w:p>
    <w:p>
      <w:pPr>
        <w:spacing w:after="120" w:line="440" w:lineRule="exact"/>
        <w:rPr>
          <w:rFonts w:ascii="宋体" w:hAnsi="宋体"/>
          <w:b/>
          <w:sz w:val="24"/>
        </w:rPr>
      </w:pPr>
      <w:r>
        <w:rPr>
          <w:rFonts w:hint="eastAsia" w:ascii="宋体" w:hAnsi="宋体"/>
          <w:b/>
          <w:sz w:val="24"/>
        </w:rPr>
        <w:t>所获证书：</w:t>
      </w:r>
    </w:p>
    <w:p>
      <w:pPr>
        <w:spacing w:after="120" w:line="440" w:lineRule="exact"/>
        <w:rPr>
          <w:rFonts w:ascii="宋体" w:hAnsi="宋体"/>
          <w:i/>
          <w:sz w:val="24"/>
        </w:rPr>
      </w:pPr>
      <w:r>
        <w:rPr>
          <w:rFonts w:hint="eastAsia" w:ascii="宋体" w:hAnsi="宋体"/>
          <w:i/>
          <w:sz w:val="24"/>
        </w:rPr>
        <w:t>（提供此人与本项目相关的证书扫描件）</w:t>
      </w:r>
    </w:p>
    <w:p>
      <w:pPr>
        <w:pBdr>
          <w:bottom w:val="single" w:color="auto" w:sz="6" w:space="1"/>
        </w:pBdr>
        <w:spacing w:after="120" w:line="440" w:lineRule="exact"/>
        <w:rPr>
          <w:rFonts w:ascii="宋体" w:hAnsi="宋体"/>
          <w:sz w:val="18"/>
          <w:szCs w:val="18"/>
        </w:rPr>
      </w:pPr>
    </w:p>
    <w:p>
      <w:pPr>
        <w:spacing w:after="120" w:line="440" w:lineRule="exact"/>
        <w:rPr>
          <w:rFonts w:ascii="宋体" w:hAnsi="宋体"/>
          <w:b/>
          <w:sz w:val="24"/>
        </w:rPr>
      </w:pPr>
      <w:r>
        <w:rPr>
          <w:rFonts w:hint="eastAsia" w:ascii="宋体" w:hAnsi="宋体"/>
          <w:b/>
          <w:sz w:val="24"/>
        </w:rPr>
        <w:t>工作简历：</w:t>
      </w:r>
    </w:p>
    <w:p>
      <w:pPr>
        <w:pStyle w:val="19"/>
        <w:ind w:firstLine="446"/>
        <w:rPr>
          <w:rFonts w:ascii="宋体" w:hAnsi="宋体"/>
          <w:sz w:val="24"/>
        </w:rPr>
      </w:pPr>
      <w:r>
        <w:rPr>
          <w:rFonts w:hint="eastAsia" w:ascii="宋体" w:hAnsi="宋体"/>
          <w:sz w:val="24"/>
        </w:rPr>
        <w:t>（从现任职位开始，倒叙列出自毕业后所任所有职务、日期、受雇单位名称、职位头衔、任务地点。近十年的经验应给出从事活动的类型和适当的用户信息。）</w:t>
      </w:r>
    </w:p>
    <w:p>
      <w:pPr>
        <w:pBdr>
          <w:bottom w:val="single" w:color="auto" w:sz="6" w:space="1"/>
        </w:pBdr>
        <w:spacing w:after="120" w:line="440" w:lineRule="exact"/>
        <w:rPr>
          <w:rFonts w:ascii="宋体" w:hAnsi="宋体"/>
          <w:sz w:val="24"/>
        </w:rPr>
      </w:pPr>
    </w:p>
    <w:p>
      <w:pPr>
        <w:spacing w:after="120" w:line="440" w:lineRule="exact"/>
        <w:rPr>
          <w:rFonts w:ascii="宋体" w:hAnsi="宋体"/>
          <w:sz w:val="24"/>
        </w:rPr>
      </w:pPr>
    </w:p>
    <w:p>
      <w:pPr>
        <w:tabs>
          <w:tab w:val="left" w:pos="2895"/>
          <w:tab w:val="center" w:pos="4156"/>
        </w:tabs>
        <w:spacing w:line="480" w:lineRule="auto"/>
        <w:jc w:val="left"/>
        <w:rPr>
          <w:rFonts w:ascii="宋体" w:hAnsi="宋体"/>
          <w:b/>
          <w:bCs/>
          <w:kern w:val="0"/>
          <w:sz w:val="24"/>
        </w:rPr>
      </w:pPr>
      <w:r>
        <w:rPr>
          <w:rFonts w:hint="eastAsia" w:ascii="宋体" w:hAnsi="宋体"/>
          <w:b/>
          <w:bCs/>
          <w:kern w:val="0"/>
          <w:sz w:val="24"/>
        </w:rPr>
        <w:t>注：关键岗位人员均需填写此表。</w:t>
      </w:r>
    </w:p>
    <w:p>
      <w:pPr>
        <w:tabs>
          <w:tab w:val="left" w:pos="2895"/>
          <w:tab w:val="center" w:pos="4156"/>
        </w:tabs>
        <w:spacing w:line="480" w:lineRule="auto"/>
        <w:jc w:val="left"/>
        <w:rPr>
          <w:b/>
          <w:sz w:val="24"/>
        </w:rPr>
      </w:pPr>
      <w:r>
        <w:rPr>
          <w:b/>
          <w:sz w:val="24"/>
        </w:rPr>
        <w:t>附件</w:t>
      </w:r>
      <w:r>
        <w:rPr>
          <w:rFonts w:hint="eastAsia"/>
          <w:b/>
          <w:sz w:val="24"/>
        </w:rPr>
        <w:t>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napToGrid w:val="0"/>
        <w:spacing w:line="360" w:lineRule="auto"/>
        <w:ind w:firstLine="448"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napToGrid w:val="0"/>
        <w:spacing w:line="360" w:lineRule="auto"/>
        <w:ind w:firstLine="448" w:firstLineChars="200"/>
        <w:rPr>
          <w:sz w:val="24"/>
          <w:szCs w:val="21"/>
        </w:rPr>
      </w:pPr>
      <w:r>
        <w:rPr>
          <w:sz w:val="24"/>
          <w:szCs w:val="21"/>
        </w:rPr>
        <w:t>本授权书至投标有效期结束前始终有效。</w:t>
      </w:r>
    </w:p>
    <w:p>
      <w:pPr>
        <w:snapToGrid w:val="0"/>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480" w:lineRule="auto"/>
        <w:jc w:val="center"/>
        <w:rPr>
          <w:sz w:val="24"/>
        </w:rPr>
      </w:pPr>
      <w:r>
        <w:rPr>
          <w:sz w:val="24"/>
        </w:rPr>
        <w:t xml:space="preserve">     年   月   日  </w:t>
      </w:r>
    </w:p>
    <w:p>
      <w:pPr>
        <w:spacing w:line="360" w:lineRule="auto"/>
        <w:ind w:firstLine="4704" w:firstLineChars="2100"/>
        <w:rPr>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widowControl/>
        <w:jc w:val="left"/>
        <w:rPr>
          <w:sz w:val="24"/>
        </w:rPr>
      </w:pPr>
      <w:r>
        <w:rPr>
          <w:sz w:val="24"/>
        </w:rPr>
        <w:br w:type="page"/>
      </w:r>
    </w:p>
    <w:p>
      <w:pPr>
        <w:autoSpaceDN w:val="0"/>
        <w:spacing w:line="360" w:lineRule="auto"/>
        <w:jc w:val="left"/>
        <w:rPr>
          <w:b/>
          <w:bCs/>
          <w:sz w:val="24"/>
        </w:rPr>
      </w:pPr>
      <w:r>
        <w:rPr>
          <w:b/>
          <w:bCs/>
          <w:sz w:val="24"/>
        </w:rPr>
        <w:t>附件</w:t>
      </w:r>
      <w:r>
        <w:rPr>
          <w:rFonts w:hint="eastAsia"/>
          <w:b/>
          <w:bCs/>
          <w:sz w:val="24"/>
        </w:rPr>
        <w:t>9-1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u w:val="single"/>
        </w:rPr>
        <w:t>软件和信息技术服务业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szCs w:val="24"/>
        </w:rPr>
      </w:pPr>
      <w:r>
        <w:rPr>
          <w:b/>
          <w:sz w:val="24"/>
          <w:szCs w:val="24"/>
        </w:rPr>
        <w:t>3.中标（成交）供应商享受中小企业扶持政策的，将随中标（成交）结果同时公告其《中小企业声明函》，接受社会监督。</w:t>
      </w:r>
    </w:p>
    <w:p>
      <w:pPr>
        <w:autoSpaceDN w:val="0"/>
        <w:spacing w:line="360" w:lineRule="auto"/>
        <w:rPr>
          <w:b/>
          <w:bCs/>
          <w:sz w:val="24"/>
        </w:rPr>
      </w:pPr>
      <w:r>
        <w:rPr>
          <w:sz w:val="24"/>
        </w:rPr>
        <w:br w:type="page"/>
      </w:r>
      <w:bookmarkStart w:id="6" w:name="OLE_LINK14"/>
      <w:bookmarkStart w:id="7" w:name="OLE_LINK13"/>
      <w:r>
        <w:rPr>
          <w:rFonts w:hint="eastAsia"/>
          <w:b/>
          <w:bCs/>
          <w:sz w:val="24"/>
        </w:rPr>
        <w:t>附件9-2</w:t>
      </w:r>
    </w:p>
    <w:bookmarkEnd w:id="6"/>
    <w:bookmarkEnd w:id="7"/>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sz w:val="24"/>
        </w:rPr>
      </w:pPr>
      <w:r>
        <w:rPr>
          <w:sz w:val="24"/>
        </w:rPr>
        <w:br w:type="page"/>
      </w:r>
    </w:p>
    <w:p>
      <w:pPr>
        <w:tabs>
          <w:tab w:val="left" w:pos="360"/>
        </w:tabs>
        <w:spacing w:line="360" w:lineRule="auto"/>
        <w:rPr>
          <w:b/>
          <w:sz w:val="24"/>
        </w:rPr>
      </w:pPr>
      <w:r>
        <w:rPr>
          <w:b/>
          <w:sz w:val="24"/>
        </w:rPr>
        <w:t>附件</w:t>
      </w:r>
      <w:r>
        <w:rPr>
          <w:rFonts w:hint="eastAsia"/>
          <w:b/>
          <w:sz w:val="24"/>
        </w:rPr>
        <w:t>10</w:t>
      </w:r>
    </w:p>
    <w:p>
      <w:pPr>
        <w:autoSpaceDN w:val="0"/>
        <w:spacing w:line="360" w:lineRule="auto"/>
        <w:jc w:val="center"/>
        <w:rPr>
          <w:b/>
          <w:bCs/>
          <w:sz w:val="24"/>
        </w:rPr>
      </w:pPr>
      <w:r>
        <w:rPr>
          <w:b/>
          <w:bCs/>
          <w:sz w:val="24"/>
        </w:rPr>
        <w:t>政府采购政策情况表</w:t>
      </w:r>
    </w:p>
    <w:p>
      <w:pPr>
        <w:spacing w:line="460" w:lineRule="exact"/>
        <w:jc w:val="center"/>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firstLine="6944" w:firstLineChars="3100"/>
        <w:rPr>
          <w:sz w:val="24"/>
        </w:rPr>
      </w:pPr>
      <w:r>
        <w:rPr>
          <w:sz w:val="24"/>
        </w:rPr>
        <w:t>单位：元</w:t>
      </w:r>
    </w:p>
    <w:tbl>
      <w:tblPr>
        <w:tblStyle w:val="21"/>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29"/>
        <w:gridCol w:w="1080"/>
        <w:gridCol w:w="1080"/>
        <w:gridCol w:w="1289"/>
        <w:gridCol w:w="219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0" w:type="dxa"/>
            <w:vMerge w:val="restart"/>
            <w:shd w:val="clear" w:color="auto" w:fill="auto"/>
            <w:vAlign w:val="center"/>
          </w:tcPr>
          <w:p>
            <w:pPr>
              <w:widowControl/>
              <w:jc w:val="center"/>
              <w:rPr>
                <w:kern w:val="0"/>
                <w:sz w:val="24"/>
                <w:szCs w:val="24"/>
              </w:rPr>
            </w:pPr>
            <w:r>
              <w:rPr>
                <w:kern w:val="0"/>
                <w:sz w:val="24"/>
                <w:szCs w:val="24"/>
              </w:rPr>
              <w:t>节能产品（非强制节能产品）</w:t>
            </w:r>
          </w:p>
        </w:tc>
        <w:tc>
          <w:tcPr>
            <w:tcW w:w="1129" w:type="dxa"/>
            <w:shd w:val="clear" w:color="auto" w:fill="auto"/>
            <w:vAlign w:val="center"/>
          </w:tcPr>
          <w:p>
            <w:pPr>
              <w:widowControl/>
              <w:jc w:val="center"/>
              <w:rPr>
                <w:kern w:val="0"/>
                <w:sz w:val="24"/>
                <w:szCs w:val="24"/>
              </w:rPr>
            </w:pPr>
            <w:r>
              <w:rPr>
                <w:kern w:val="0"/>
                <w:sz w:val="24"/>
                <w:szCs w:val="24"/>
              </w:rPr>
              <w:t>产品名称</w:t>
            </w:r>
          </w:p>
        </w:tc>
        <w:tc>
          <w:tcPr>
            <w:tcW w:w="2160" w:type="dxa"/>
            <w:gridSpan w:val="2"/>
            <w:shd w:val="clear" w:color="auto" w:fill="auto"/>
            <w:vAlign w:val="center"/>
          </w:tcPr>
          <w:p>
            <w:pPr>
              <w:widowControl/>
              <w:jc w:val="center"/>
              <w:rPr>
                <w:kern w:val="0"/>
                <w:sz w:val="24"/>
                <w:szCs w:val="24"/>
              </w:rPr>
            </w:pPr>
            <w:r>
              <w:rPr>
                <w:kern w:val="0"/>
                <w:sz w:val="24"/>
                <w:szCs w:val="24"/>
              </w:rPr>
              <w:t>品牌型号</w:t>
            </w:r>
          </w:p>
        </w:tc>
        <w:tc>
          <w:tcPr>
            <w:tcW w:w="1289" w:type="dxa"/>
            <w:shd w:val="clear" w:color="auto" w:fill="auto"/>
            <w:vAlign w:val="center"/>
          </w:tcPr>
          <w:p>
            <w:pPr>
              <w:widowControl/>
              <w:jc w:val="center"/>
              <w:rPr>
                <w:kern w:val="0"/>
                <w:sz w:val="24"/>
                <w:szCs w:val="24"/>
              </w:rPr>
            </w:pPr>
            <w:r>
              <w:rPr>
                <w:kern w:val="0"/>
                <w:sz w:val="24"/>
                <w:szCs w:val="24"/>
              </w:rPr>
              <w:t>制造商</w:t>
            </w:r>
          </w:p>
        </w:tc>
        <w:tc>
          <w:tcPr>
            <w:tcW w:w="2191" w:type="dxa"/>
            <w:shd w:val="clear" w:color="auto" w:fill="auto"/>
            <w:vAlign w:val="center"/>
          </w:tcPr>
          <w:p>
            <w:pPr>
              <w:widowControl/>
              <w:jc w:val="center"/>
              <w:rPr>
                <w:kern w:val="0"/>
                <w:sz w:val="24"/>
                <w:szCs w:val="24"/>
              </w:rPr>
            </w:pPr>
            <w:r>
              <w:rPr>
                <w:kern w:val="0"/>
                <w:sz w:val="24"/>
                <w:szCs w:val="24"/>
              </w:rPr>
              <w:t>节能认证证书编号</w:t>
            </w:r>
          </w:p>
        </w:tc>
        <w:tc>
          <w:tcPr>
            <w:tcW w:w="1080" w:type="dxa"/>
            <w:shd w:val="clear" w:color="auto" w:fill="auto"/>
            <w:vAlign w:val="center"/>
          </w:tcPr>
          <w:p>
            <w:pPr>
              <w:widowControl/>
              <w:jc w:val="center"/>
              <w:rPr>
                <w:kern w:val="0"/>
                <w:sz w:val="24"/>
                <w:szCs w:val="24"/>
              </w:rPr>
            </w:pPr>
            <w:r>
              <w:rPr>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40" w:type="dxa"/>
            <w:vMerge w:val="continue"/>
            <w:vAlign w:val="center"/>
          </w:tcPr>
          <w:p>
            <w:pPr>
              <w:widowControl/>
              <w:jc w:val="left"/>
              <w:rPr>
                <w:kern w:val="0"/>
                <w:sz w:val="24"/>
                <w:szCs w:val="24"/>
              </w:rPr>
            </w:pPr>
          </w:p>
        </w:tc>
        <w:tc>
          <w:tcPr>
            <w:tcW w:w="1129" w:type="dxa"/>
            <w:shd w:val="clear" w:color="auto" w:fill="auto"/>
            <w:vAlign w:val="center"/>
          </w:tcPr>
          <w:p>
            <w:pPr>
              <w:widowControl/>
              <w:jc w:val="center"/>
              <w:rPr>
                <w:kern w:val="0"/>
                <w:sz w:val="24"/>
                <w:szCs w:val="24"/>
              </w:rPr>
            </w:pPr>
            <w:r>
              <w:rPr>
                <w:kern w:val="0"/>
                <w:sz w:val="24"/>
                <w:szCs w:val="24"/>
                <w:lang w:val="en-GB"/>
              </w:rPr>
              <w:t>　</w:t>
            </w:r>
          </w:p>
        </w:tc>
        <w:tc>
          <w:tcPr>
            <w:tcW w:w="2160" w:type="dxa"/>
            <w:gridSpan w:val="2"/>
            <w:shd w:val="clear" w:color="auto" w:fill="auto"/>
            <w:vAlign w:val="center"/>
          </w:tcPr>
          <w:p>
            <w:pPr>
              <w:widowControl/>
              <w:jc w:val="center"/>
              <w:rPr>
                <w:kern w:val="0"/>
                <w:sz w:val="24"/>
                <w:szCs w:val="24"/>
              </w:rPr>
            </w:pPr>
            <w:r>
              <w:rPr>
                <w:kern w:val="0"/>
                <w:sz w:val="24"/>
                <w:szCs w:val="24"/>
                <w:lang w:val="en-GB"/>
              </w:rPr>
              <w:t>　</w:t>
            </w:r>
          </w:p>
        </w:tc>
        <w:tc>
          <w:tcPr>
            <w:tcW w:w="1289" w:type="dxa"/>
            <w:shd w:val="clear" w:color="auto" w:fill="auto"/>
            <w:vAlign w:val="center"/>
          </w:tcPr>
          <w:p>
            <w:pPr>
              <w:widowControl/>
              <w:jc w:val="center"/>
              <w:rPr>
                <w:kern w:val="0"/>
                <w:sz w:val="24"/>
                <w:szCs w:val="24"/>
              </w:rPr>
            </w:pPr>
            <w:r>
              <w:rPr>
                <w:kern w:val="0"/>
                <w:sz w:val="24"/>
                <w:szCs w:val="24"/>
                <w:lang w:val="en-GB"/>
              </w:rPr>
              <w:t>　</w:t>
            </w:r>
          </w:p>
        </w:tc>
        <w:tc>
          <w:tcPr>
            <w:tcW w:w="2191" w:type="dxa"/>
            <w:shd w:val="clear" w:color="auto" w:fill="auto"/>
            <w:vAlign w:val="center"/>
          </w:tcPr>
          <w:p>
            <w:pPr>
              <w:widowControl/>
              <w:jc w:val="center"/>
              <w:rPr>
                <w:kern w:val="0"/>
                <w:sz w:val="24"/>
                <w:szCs w:val="24"/>
              </w:rPr>
            </w:pPr>
            <w:r>
              <w:rPr>
                <w:kern w:val="0"/>
                <w:sz w:val="24"/>
                <w:szCs w:val="24"/>
                <w:lang w:val="en-GB"/>
              </w:rPr>
              <w:t>　</w:t>
            </w:r>
          </w:p>
        </w:tc>
        <w:tc>
          <w:tcPr>
            <w:tcW w:w="1080" w:type="dxa"/>
            <w:shd w:val="clear" w:color="auto" w:fill="auto"/>
            <w:vAlign w:val="center"/>
          </w:tcPr>
          <w:p>
            <w:pPr>
              <w:widowControl/>
              <w:jc w:val="center"/>
              <w:rPr>
                <w:kern w:val="0"/>
                <w:sz w:val="24"/>
                <w:szCs w:val="24"/>
              </w:rPr>
            </w:pPr>
            <w:r>
              <w:rPr>
                <w:kern w:val="0"/>
                <w:sz w:val="24"/>
                <w:szCs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40" w:type="dxa"/>
            <w:vMerge w:val="continue"/>
            <w:vAlign w:val="center"/>
          </w:tcPr>
          <w:p>
            <w:pPr>
              <w:widowControl/>
              <w:jc w:val="left"/>
              <w:rPr>
                <w:kern w:val="0"/>
                <w:sz w:val="24"/>
                <w:szCs w:val="24"/>
              </w:rPr>
            </w:pPr>
          </w:p>
        </w:tc>
        <w:tc>
          <w:tcPr>
            <w:tcW w:w="1129" w:type="dxa"/>
            <w:shd w:val="clear" w:color="auto" w:fill="auto"/>
            <w:vAlign w:val="center"/>
          </w:tcPr>
          <w:p>
            <w:pPr>
              <w:widowControl/>
              <w:jc w:val="center"/>
              <w:rPr>
                <w:kern w:val="0"/>
                <w:sz w:val="24"/>
                <w:szCs w:val="24"/>
              </w:rPr>
            </w:pPr>
            <w:r>
              <w:rPr>
                <w:kern w:val="0"/>
                <w:sz w:val="24"/>
                <w:szCs w:val="24"/>
                <w:lang w:val="en-GB"/>
              </w:rPr>
              <w:t>　</w:t>
            </w:r>
          </w:p>
        </w:tc>
        <w:tc>
          <w:tcPr>
            <w:tcW w:w="2160" w:type="dxa"/>
            <w:gridSpan w:val="2"/>
            <w:shd w:val="clear" w:color="auto" w:fill="auto"/>
            <w:vAlign w:val="center"/>
          </w:tcPr>
          <w:p>
            <w:pPr>
              <w:widowControl/>
              <w:jc w:val="center"/>
              <w:rPr>
                <w:kern w:val="0"/>
                <w:sz w:val="24"/>
                <w:szCs w:val="24"/>
              </w:rPr>
            </w:pPr>
            <w:r>
              <w:rPr>
                <w:kern w:val="0"/>
                <w:sz w:val="24"/>
                <w:szCs w:val="24"/>
                <w:lang w:val="en-GB"/>
              </w:rPr>
              <w:t>　</w:t>
            </w:r>
          </w:p>
        </w:tc>
        <w:tc>
          <w:tcPr>
            <w:tcW w:w="1289" w:type="dxa"/>
            <w:shd w:val="clear" w:color="auto" w:fill="auto"/>
            <w:vAlign w:val="center"/>
          </w:tcPr>
          <w:p>
            <w:pPr>
              <w:widowControl/>
              <w:jc w:val="center"/>
              <w:rPr>
                <w:kern w:val="0"/>
                <w:sz w:val="24"/>
                <w:szCs w:val="24"/>
              </w:rPr>
            </w:pPr>
            <w:r>
              <w:rPr>
                <w:kern w:val="0"/>
                <w:sz w:val="24"/>
                <w:szCs w:val="24"/>
                <w:lang w:val="en-GB"/>
              </w:rPr>
              <w:t>　</w:t>
            </w:r>
          </w:p>
        </w:tc>
        <w:tc>
          <w:tcPr>
            <w:tcW w:w="2191" w:type="dxa"/>
            <w:shd w:val="clear" w:color="auto" w:fill="auto"/>
            <w:vAlign w:val="center"/>
          </w:tcPr>
          <w:p>
            <w:pPr>
              <w:widowControl/>
              <w:jc w:val="center"/>
              <w:rPr>
                <w:kern w:val="0"/>
                <w:sz w:val="24"/>
                <w:szCs w:val="24"/>
              </w:rPr>
            </w:pPr>
            <w:r>
              <w:rPr>
                <w:kern w:val="0"/>
                <w:sz w:val="24"/>
                <w:szCs w:val="24"/>
                <w:lang w:val="en-GB"/>
              </w:rPr>
              <w:t>　</w:t>
            </w:r>
          </w:p>
        </w:tc>
        <w:tc>
          <w:tcPr>
            <w:tcW w:w="1080" w:type="dxa"/>
            <w:shd w:val="clear" w:color="auto" w:fill="auto"/>
            <w:vAlign w:val="center"/>
          </w:tcPr>
          <w:p>
            <w:pPr>
              <w:widowControl/>
              <w:jc w:val="center"/>
              <w:rPr>
                <w:kern w:val="0"/>
                <w:sz w:val="24"/>
                <w:szCs w:val="24"/>
              </w:rPr>
            </w:pPr>
            <w:r>
              <w:rPr>
                <w:kern w:val="0"/>
                <w:sz w:val="24"/>
                <w:szCs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240" w:type="dxa"/>
            <w:vMerge w:val="continue"/>
            <w:vAlign w:val="center"/>
          </w:tcPr>
          <w:p>
            <w:pPr>
              <w:widowControl/>
              <w:jc w:val="left"/>
              <w:rPr>
                <w:kern w:val="0"/>
                <w:sz w:val="24"/>
                <w:szCs w:val="24"/>
              </w:rPr>
            </w:pPr>
          </w:p>
        </w:tc>
        <w:tc>
          <w:tcPr>
            <w:tcW w:w="6769" w:type="dxa"/>
            <w:gridSpan w:val="5"/>
            <w:shd w:val="clear" w:color="auto" w:fill="auto"/>
            <w:vAlign w:val="center"/>
          </w:tcPr>
          <w:p>
            <w:pPr>
              <w:widowControl/>
              <w:jc w:val="center"/>
              <w:rPr>
                <w:kern w:val="0"/>
                <w:sz w:val="24"/>
                <w:szCs w:val="24"/>
              </w:rPr>
            </w:pPr>
            <w:r>
              <w:rPr>
                <w:kern w:val="0"/>
                <w:sz w:val="24"/>
                <w:szCs w:val="24"/>
              </w:rPr>
              <w:t>节能产品（不包括强制节能产品）金额合计</w:t>
            </w:r>
          </w:p>
        </w:tc>
        <w:tc>
          <w:tcPr>
            <w:tcW w:w="1080" w:type="dxa"/>
            <w:shd w:val="clear" w:color="auto" w:fill="auto"/>
            <w:vAlign w:val="center"/>
          </w:tcPr>
          <w:p>
            <w:pPr>
              <w:widowControl/>
              <w:jc w:val="center"/>
              <w:rPr>
                <w:kern w:val="0"/>
                <w:sz w:val="24"/>
                <w:szCs w:val="24"/>
              </w:rPr>
            </w:pPr>
            <w:r>
              <w:rPr>
                <w:kern w:val="0"/>
                <w:sz w:val="24"/>
                <w:szCs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40" w:type="dxa"/>
            <w:vMerge w:val="continue"/>
            <w:vAlign w:val="center"/>
          </w:tcPr>
          <w:p>
            <w:pPr>
              <w:widowControl/>
              <w:jc w:val="left"/>
              <w:rPr>
                <w:kern w:val="0"/>
                <w:sz w:val="24"/>
                <w:szCs w:val="24"/>
              </w:rPr>
            </w:pPr>
          </w:p>
        </w:tc>
        <w:tc>
          <w:tcPr>
            <w:tcW w:w="6769" w:type="dxa"/>
            <w:gridSpan w:val="5"/>
            <w:shd w:val="clear" w:color="auto" w:fill="auto"/>
            <w:vAlign w:val="center"/>
          </w:tcPr>
          <w:p>
            <w:pPr>
              <w:widowControl/>
              <w:jc w:val="center"/>
              <w:rPr>
                <w:kern w:val="0"/>
                <w:sz w:val="24"/>
                <w:szCs w:val="24"/>
              </w:rPr>
            </w:pPr>
            <w:r>
              <w:rPr>
                <w:kern w:val="0"/>
                <w:sz w:val="24"/>
                <w:szCs w:val="24"/>
              </w:rPr>
              <w:t>比重（节能产品金额/投标所投包总价）</w:t>
            </w:r>
          </w:p>
        </w:tc>
        <w:tc>
          <w:tcPr>
            <w:tcW w:w="1080" w:type="dxa"/>
            <w:shd w:val="clear" w:color="auto" w:fill="auto"/>
            <w:vAlign w:val="center"/>
          </w:tcPr>
          <w:p>
            <w:pPr>
              <w:widowControl/>
              <w:jc w:val="center"/>
              <w:rPr>
                <w:kern w:val="0"/>
                <w:sz w:val="24"/>
                <w:szCs w:val="24"/>
              </w:rPr>
            </w:pPr>
            <w:r>
              <w:rPr>
                <w:kern w:val="0"/>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40" w:type="dxa"/>
            <w:vMerge w:val="continue"/>
            <w:vAlign w:val="center"/>
          </w:tcPr>
          <w:p>
            <w:pPr>
              <w:widowControl/>
              <w:jc w:val="left"/>
              <w:rPr>
                <w:kern w:val="0"/>
                <w:sz w:val="24"/>
                <w:szCs w:val="24"/>
              </w:rPr>
            </w:pPr>
          </w:p>
        </w:tc>
        <w:tc>
          <w:tcPr>
            <w:tcW w:w="7849" w:type="dxa"/>
            <w:gridSpan w:val="6"/>
            <w:shd w:val="clear" w:color="auto" w:fill="auto"/>
            <w:vAlign w:val="center"/>
          </w:tcPr>
          <w:p>
            <w:pPr>
              <w:widowControl/>
              <w:jc w:val="center"/>
              <w:rPr>
                <w:kern w:val="0"/>
                <w:sz w:val="24"/>
                <w:szCs w:val="24"/>
              </w:rPr>
            </w:pPr>
            <w:r>
              <w:rPr>
                <w:kern w:val="0"/>
                <w:sz w:val="24"/>
                <w:szCs w:val="24"/>
              </w:rPr>
              <w:t>节能产品证明材料见投标文件第</w:t>
            </w:r>
            <w:r>
              <w:rPr>
                <w:kern w:val="0"/>
                <w:sz w:val="24"/>
                <w:szCs w:val="24"/>
                <w:u w:val="single"/>
              </w:rPr>
              <w:t xml:space="preserve">   </w:t>
            </w:r>
            <w:r>
              <w:rPr>
                <w:kern w:val="0"/>
                <w:sz w:val="24"/>
                <w:szCs w:val="24"/>
              </w:rPr>
              <w:t>至</w:t>
            </w:r>
            <w:r>
              <w:rPr>
                <w:kern w:val="0"/>
                <w:sz w:val="24"/>
                <w:szCs w:val="24"/>
                <w:u w:val="single"/>
              </w:rPr>
              <w:t xml:space="preserve">   </w:t>
            </w:r>
            <w:r>
              <w:rPr>
                <w:kern w:val="0"/>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40" w:type="dxa"/>
            <w:vMerge w:val="restart"/>
            <w:shd w:val="clear" w:color="auto" w:fill="auto"/>
            <w:vAlign w:val="center"/>
          </w:tcPr>
          <w:p>
            <w:pPr>
              <w:widowControl/>
              <w:jc w:val="center"/>
              <w:rPr>
                <w:kern w:val="0"/>
                <w:sz w:val="24"/>
                <w:szCs w:val="24"/>
              </w:rPr>
            </w:pPr>
            <w:r>
              <w:rPr>
                <w:kern w:val="0"/>
                <w:sz w:val="24"/>
                <w:szCs w:val="24"/>
              </w:rPr>
              <w:t>环境标志产品</w:t>
            </w:r>
          </w:p>
        </w:tc>
        <w:tc>
          <w:tcPr>
            <w:tcW w:w="1129" w:type="dxa"/>
            <w:shd w:val="clear" w:color="auto" w:fill="auto"/>
            <w:vAlign w:val="center"/>
          </w:tcPr>
          <w:p>
            <w:pPr>
              <w:widowControl/>
              <w:jc w:val="center"/>
              <w:rPr>
                <w:kern w:val="0"/>
                <w:sz w:val="24"/>
                <w:szCs w:val="24"/>
              </w:rPr>
            </w:pPr>
            <w:r>
              <w:rPr>
                <w:kern w:val="0"/>
                <w:sz w:val="24"/>
                <w:szCs w:val="24"/>
              </w:rPr>
              <w:t>产品名称</w:t>
            </w:r>
          </w:p>
        </w:tc>
        <w:tc>
          <w:tcPr>
            <w:tcW w:w="1080" w:type="dxa"/>
            <w:shd w:val="clear" w:color="auto" w:fill="auto"/>
            <w:vAlign w:val="center"/>
          </w:tcPr>
          <w:p>
            <w:pPr>
              <w:widowControl/>
              <w:jc w:val="center"/>
              <w:rPr>
                <w:kern w:val="0"/>
                <w:sz w:val="24"/>
                <w:szCs w:val="24"/>
              </w:rPr>
            </w:pPr>
            <w:r>
              <w:rPr>
                <w:kern w:val="0"/>
                <w:sz w:val="24"/>
                <w:szCs w:val="24"/>
              </w:rPr>
              <w:t>品牌型号</w:t>
            </w:r>
          </w:p>
        </w:tc>
        <w:tc>
          <w:tcPr>
            <w:tcW w:w="2369" w:type="dxa"/>
            <w:gridSpan w:val="2"/>
            <w:shd w:val="clear" w:color="auto" w:fill="auto"/>
            <w:vAlign w:val="center"/>
          </w:tcPr>
          <w:p>
            <w:pPr>
              <w:widowControl/>
              <w:jc w:val="center"/>
              <w:rPr>
                <w:kern w:val="0"/>
                <w:sz w:val="24"/>
                <w:szCs w:val="24"/>
              </w:rPr>
            </w:pPr>
            <w:r>
              <w:rPr>
                <w:kern w:val="0"/>
                <w:sz w:val="24"/>
                <w:szCs w:val="24"/>
              </w:rPr>
              <w:t>制造商</w:t>
            </w:r>
          </w:p>
        </w:tc>
        <w:tc>
          <w:tcPr>
            <w:tcW w:w="2191" w:type="dxa"/>
            <w:shd w:val="clear" w:color="auto" w:fill="auto"/>
            <w:vAlign w:val="center"/>
          </w:tcPr>
          <w:p>
            <w:pPr>
              <w:widowControl/>
              <w:jc w:val="center"/>
              <w:rPr>
                <w:kern w:val="0"/>
                <w:sz w:val="24"/>
                <w:szCs w:val="24"/>
              </w:rPr>
            </w:pPr>
            <w:r>
              <w:rPr>
                <w:kern w:val="0"/>
                <w:sz w:val="24"/>
                <w:szCs w:val="24"/>
              </w:rPr>
              <w:t>环境标志认证证书编号</w:t>
            </w:r>
          </w:p>
        </w:tc>
        <w:tc>
          <w:tcPr>
            <w:tcW w:w="1080" w:type="dxa"/>
            <w:shd w:val="clear" w:color="auto" w:fill="auto"/>
            <w:vAlign w:val="center"/>
          </w:tcPr>
          <w:p>
            <w:pPr>
              <w:widowControl/>
              <w:jc w:val="center"/>
              <w:rPr>
                <w:kern w:val="0"/>
                <w:sz w:val="24"/>
                <w:szCs w:val="24"/>
              </w:rPr>
            </w:pPr>
            <w:r>
              <w:rPr>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40" w:type="dxa"/>
            <w:vMerge w:val="continue"/>
            <w:vAlign w:val="center"/>
          </w:tcPr>
          <w:p>
            <w:pPr>
              <w:widowControl/>
              <w:jc w:val="left"/>
              <w:rPr>
                <w:kern w:val="0"/>
                <w:sz w:val="24"/>
                <w:szCs w:val="24"/>
              </w:rPr>
            </w:pPr>
          </w:p>
        </w:tc>
        <w:tc>
          <w:tcPr>
            <w:tcW w:w="1129" w:type="dxa"/>
            <w:shd w:val="clear" w:color="auto" w:fill="auto"/>
            <w:vAlign w:val="center"/>
          </w:tcPr>
          <w:p>
            <w:pPr>
              <w:widowControl/>
              <w:jc w:val="center"/>
              <w:rPr>
                <w:kern w:val="0"/>
                <w:sz w:val="24"/>
                <w:szCs w:val="24"/>
              </w:rPr>
            </w:pPr>
            <w:r>
              <w:rPr>
                <w:kern w:val="0"/>
                <w:sz w:val="24"/>
                <w:szCs w:val="24"/>
                <w:lang w:val="en-GB"/>
              </w:rPr>
              <w:t>　</w:t>
            </w:r>
          </w:p>
        </w:tc>
        <w:tc>
          <w:tcPr>
            <w:tcW w:w="1080" w:type="dxa"/>
            <w:shd w:val="clear" w:color="auto" w:fill="auto"/>
            <w:vAlign w:val="center"/>
          </w:tcPr>
          <w:p>
            <w:pPr>
              <w:widowControl/>
              <w:jc w:val="center"/>
              <w:rPr>
                <w:kern w:val="0"/>
                <w:sz w:val="24"/>
                <w:szCs w:val="24"/>
              </w:rPr>
            </w:pPr>
            <w:r>
              <w:rPr>
                <w:kern w:val="0"/>
                <w:sz w:val="24"/>
                <w:szCs w:val="24"/>
                <w:lang w:val="en-GB"/>
              </w:rPr>
              <w:t>　</w:t>
            </w:r>
          </w:p>
        </w:tc>
        <w:tc>
          <w:tcPr>
            <w:tcW w:w="2369" w:type="dxa"/>
            <w:gridSpan w:val="2"/>
            <w:shd w:val="clear" w:color="auto" w:fill="auto"/>
            <w:vAlign w:val="center"/>
          </w:tcPr>
          <w:p>
            <w:pPr>
              <w:widowControl/>
              <w:jc w:val="center"/>
              <w:rPr>
                <w:kern w:val="0"/>
                <w:sz w:val="24"/>
                <w:szCs w:val="24"/>
              </w:rPr>
            </w:pPr>
            <w:r>
              <w:rPr>
                <w:kern w:val="0"/>
                <w:sz w:val="24"/>
                <w:szCs w:val="24"/>
                <w:lang w:val="en-GB"/>
              </w:rPr>
              <w:t>　</w:t>
            </w:r>
          </w:p>
        </w:tc>
        <w:tc>
          <w:tcPr>
            <w:tcW w:w="2191" w:type="dxa"/>
            <w:shd w:val="clear" w:color="auto" w:fill="auto"/>
            <w:vAlign w:val="center"/>
          </w:tcPr>
          <w:p>
            <w:pPr>
              <w:widowControl/>
              <w:jc w:val="center"/>
              <w:rPr>
                <w:kern w:val="0"/>
                <w:sz w:val="24"/>
                <w:szCs w:val="24"/>
              </w:rPr>
            </w:pPr>
            <w:r>
              <w:rPr>
                <w:kern w:val="0"/>
                <w:sz w:val="24"/>
                <w:szCs w:val="24"/>
                <w:lang w:val="en-GB"/>
              </w:rPr>
              <w:t>　</w:t>
            </w:r>
          </w:p>
        </w:tc>
        <w:tc>
          <w:tcPr>
            <w:tcW w:w="1080" w:type="dxa"/>
            <w:shd w:val="clear" w:color="auto" w:fill="auto"/>
            <w:vAlign w:val="center"/>
          </w:tcPr>
          <w:p>
            <w:pPr>
              <w:widowControl/>
              <w:jc w:val="center"/>
              <w:rPr>
                <w:kern w:val="0"/>
                <w:sz w:val="24"/>
                <w:szCs w:val="24"/>
              </w:rPr>
            </w:pPr>
            <w:r>
              <w:rPr>
                <w:kern w:val="0"/>
                <w:sz w:val="24"/>
                <w:szCs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40" w:type="dxa"/>
            <w:vMerge w:val="continue"/>
            <w:vAlign w:val="center"/>
          </w:tcPr>
          <w:p>
            <w:pPr>
              <w:widowControl/>
              <w:jc w:val="left"/>
              <w:rPr>
                <w:kern w:val="0"/>
                <w:sz w:val="24"/>
                <w:szCs w:val="24"/>
              </w:rPr>
            </w:pPr>
          </w:p>
        </w:tc>
        <w:tc>
          <w:tcPr>
            <w:tcW w:w="1129" w:type="dxa"/>
            <w:shd w:val="clear" w:color="auto" w:fill="auto"/>
            <w:vAlign w:val="center"/>
          </w:tcPr>
          <w:p>
            <w:pPr>
              <w:widowControl/>
              <w:jc w:val="center"/>
              <w:rPr>
                <w:kern w:val="0"/>
                <w:sz w:val="24"/>
                <w:szCs w:val="24"/>
              </w:rPr>
            </w:pPr>
            <w:r>
              <w:rPr>
                <w:kern w:val="0"/>
                <w:sz w:val="24"/>
                <w:szCs w:val="24"/>
                <w:lang w:val="en-GB"/>
              </w:rPr>
              <w:t>　</w:t>
            </w:r>
          </w:p>
        </w:tc>
        <w:tc>
          <w:tcPr>
            <w:tcW w:w="1080" w:type="dxa"/>
            <w:shd w:val="clear" w:color="auto" w:fill="auto"/>
            <w:vAlign w:val="center"/>
          </w:tcPr>
          <w:p>
            <w:pPr>
              <w:widowControl/>
              <w:jc w:val="center"/>
              <w:rPr>
                <w:kern w:val="0"/>
                <w:sz w:val="24"/>
                <w:szCs w:val="24"/>
              </w:rPr>
            </w:pPr>
            <w:r>
              <w:rPr>
                <w:kern w:val="0"/>
                <w:sz w:val="24"/>
                <w:szCs w:val="24"/>
                <w:lang w:val="en-GB"/>
              </w:rPr>
              <w:t>　</w:t>
            </w:r>
          </w:p>
        </w:tc>
        <w:tc>
          <w:tcPr>
            <w:tcW w:w="2369" w:type="dxa"/>
            <w:gridSpan w:val="2"/>
            <w:shd w:val="clear" w:color="auto" w:fill="auto"/>
            <w:vAlign w:val="center"/>
          </w:tcPr>
          <w:p>
            <w:pPr>
              <w:widowControl/>
              <w:jc w:val="center"/>
              <w:rPr>
                <w:kern w:val="0"/>
                <w:sz w:val="24"/>
                <w:szCs w:val="24"/>
              </w:rPr>
            </w:pPr>
            <w:r>
              <w:rPr>
                <w:kern w:val="0"/>
                <w:sz w:val="24"/>
                <w:szCs w:val="24"/>
                <w:lang w:val="en-GB"/>
              </w:rPr>
              <w:t>　</w:t>
            </w:r>
          </w:p>
        </w:tc>
        <w:tc>
          <w:tcPr>
            <w:tcW w:w="2191" w:type="dxa"/>
            <w:shd w:val="clear" w:color="auto" w:fill="auto"/>
            <w:vAlign w:val="center"/>
          </w:tcPr>
          <w:p>
            <w:pPr>
              <w:widowControl/>
              <w:jc w:val="center"/>
              <w:rPr>
                <w:kern w:val="0"/>
                <w:sz w:val="24"/>
                <w:szCs w:val="24"/>
              </w:rPr>
            </w:pPr>
            <w:r>
              <w:rPr>
                <w:kern w:val="0"/>
                <w:sz w:val="24"/>
                <w:szCs w:val="24"/>
                <w:lang w:val="en-GB"/>
              </w:rPr>
              <w:t>　</w:t>
            </w:r>
          </w:p>
        </w:tc>
        <w:tc>
          <w:tcPr>
            <w:tcW w:w="1080" w:type="dxa"/>
            <w:shd w:val="clear" w:color="auto" w:fill="auto"/>
            <w:vAlign w:val="center"/>
          </w:tcPr>
          <w:p>
            <w:pPr>
              <w:widowControl/>
              <w:jc w:val="center"/>
              <w:rPr>
                <w:kern w:val="0"/>
                <w:sz w:val="24"/>
                <w:szCs w:val="24"/>
              </w:rPr>
            </w:pPr>
            <w:r>
              <w:rPr>
                <w:kern w:val="0"/>
                <w:sz w:val="24"/>
                <w:szCs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40" w:type="dxa"/>
            <w:vMerge w:val="continue"/>
            <w:vAlign w:val="center"/>
          </w:tcPr>
          <w:p>
            <w:pPr>
              <w:widowControl/>
              <w:jc w:val="left"/>
              <w:rPr>
                <w:kern w:val="0"/>
                <w:sz w:val="24"/>
                <w:szCs w:val="24"/>
              </w:rPr>
            </w:pPr>
          </w:p>
        </w:tc>
        <w:tc>
          <w:tcPr>
            <w:tcW w:w="6769" w:type="dxa"/>
            <w:gridSpan w:val="5"/>
            <w:shd w:val="clear" w:color="auto" w:fill="auto"/>
            <w:vAlign w:val="center"/>
          </w:tcPr>
          <w:p>
            <w:pPr>
              <w:widowControl/>
              <w:jc w:val="center"/>
              <w:rPr>
                <w:kern w:val="0"/>
                <w:sz w:val="24"/>
                <w:szCs w:val="24"/>
              </w:rPr>
            </w:pPr>
            <w:r>
              <w:rPr>
                <w:kern w:val="0"/>
                <w:sz w:val="24"/>
                <w:szCs w:val="24"/>
              </w:rPr>
              <w:t>环境标志产品金额合计</w:t>
            </w:r>
          </w:p>
        </w:tc>
        <w:tc>
          <w:tcPr>
            <w:tcW w:w="1080" w:type="dxa"/>
            <w:shd w:val="clear" w:color="auto" w:fill="auto"/>
            <w:vAlign w:val="center"/>
          </w:tcPr>
          <w:p>
            <w:pPr>
              <w:widowControl/>
              <w:jc w:val="center"/>
              <w:rPr>
                <w:kern w:val="0"/>
                <w:sz w:val="24"/>
                <w:szCs w:val="24"/>
              </w:rPr>
            </w:pPr>
            <w:r>
              <w:rPr>
                <w:kern w:val="0"/>
                <w:sz w:val="24"/>
                <w:szCs w:val="24"/>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240" w:type="dxa"/>
            <w:vMerge w:val="continue"/>
            <w:vAlign w:val="center"/>
          </w:tcPr>
          <w:p>
            <w:pPr>
              <w:widowControl/>
              <w:jc w:val="left"/>
              <w:rPr>
                <w:kern w:val="0"/>
                <w:sz w:val="24"/>
                <w:szCs w:val="24"/>
              </w:rPr>
            </w:pPr>
          </w:p>
        </w:tc>
        <w:tc>
          <w:tcPr>
            <w:tcW w:w="6769" w:type="dxa"/>
            <w:gridSpan w:val="5"/>
            <w:shd w:val="clear" w:color="auto" w:fill="auto"/>
            <w:vAlign w:val="center"/>
          </w:tcPr>
          <w:p>
            <w:pPr>
              <w:widowControl/>
              <w:jc w:val="center"/>
              <w:rPr>
                <w:kern w:val="0"/>
                <w:sz w:val="24"/>
                <w:szCs w:val="24"/>
              </w:rPr>
            </w:pPr>
            <w:r>
              <w:rPr>
                <w:kern w:val="0"/>
                <w:sz w:val="24"/>
                <w:szCs w:val="24"/>
              </w:rPr>
              <w:t>比重（环境标志产品金额/所投包投标总价）</w:t>
            </w:r>
          </w:p>
        </w:tc>
        <w:tc>
          <w:tcPr>
            <w:tcW w:w="1080" w:type="dxa"/>
            <w:shd w:val="clear" w:color="auto" w:fill="auto"/>
            <w:vAlign w:val="center"/>
          </w:tcPr>
          <w:p>
            <w:pPr>
              <w:widowControl/>
              <w:jc w:val="center"/>
              <w:rPr>
                <w:kern w:val="0"/>
                <w:sz w:val="24"/>
                <w:szCs w:val="24"/>
              </w:rPr>
            </w:pPr>
            <w:r>
              <w:rPr>
                <w:kern w:val="0"/>
                <w:sz w:val="24"/>
                <w:szCs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40" w:type="dxa"/>
            <w:vMerge w:val="continue"/>
            <w:vAlign w:val="center"/>
          </w:tcPr>
          <w:p>
            <w:pPr>
              <w:widowControl/>
              <w:jc w:val="left"/>
              <w:rPr>
                <w:kern w:val="0"/>
                <w:sz w:val="24"/>
                <w:szCs w:val="24"/>
              </w:rPr>
            </w:pPr>
          </w:p>
        </w:tc>
        <w:tc>
          <w:tcPr>
            <w:tcW w:w="7849" w:type="dxa"/>
            <w:gridSpan w:val="6"/>
            <w:shd w:val="clear" w:color="auto" w:fill="auto"/>
            <w:vAlign w:val="center"/>
          </w:tcPr>
          <w:p>
            <w:pPr>
              <w:widowControl/>
              <w:jc w:val="center"/>
              <w:rPr>
                <w:kern w:val="0"/>
                <w:sz w:val="24"/>
                <w:szCs w:val="24"/>
              </w:rPr>
            </w:pPr>
            <w:r>
              <w:rPr>
                <w:kern w:val="0"/>
                <w:sz w:val="24"/>
                <w:szCs w:val="24"/>
              </w:rPr>
              <w:t>环境标志产品证明材料见投标文件第</w:t>
            </w:r>
            <w:r>
              <w:rPr>
                <w:kern w:val="0"/>
                <w:sz w:val="24"/>
                <w:szCs w:val="24"/>
                <w:u w:val="single"/>
              </w:rPr>
              <w:t xml:space="preserve">   </w:t>
            </w:r>
            <w:r>
              <w:rPr>
                <w:kern w:val="0"/>
                <w:sz w:val="24"/>
                <w:szCs w:val="24"/>
              </w:rPr>
              <w:t>至</w:t>
            </w:r>
            <w:r>
              <w:rPr>
                <w:kern w:val="0"/>
                <w:sz w:val="24"/>
                <w:szCs w:val="24"/>
                <w:u w:val="single"/>
              </w:rPr>
              <w:t xml:space="preserve">   </w:t>
            </w:r>
            <w:r>
              <w:rPr>
                <w:kern w:val="0"/>
                <w:sz w:val="24"/>
                <w:szCs w:val="24"/>
              </w:rPr>
              <w:t>页。</w:t>
            </w:r>
          </w:p>
        </w:tc>
      </w:tr>
    </w:tbl>
    <w:p>
      <w:pPr>
        <w:spacing w:line="360" w:lineRule="auto"/>
        <w:ind w:firstLine="448" w:firstLineChars="200"/>
        <w:outlineLvl w:val="0"/>
        <w:rPr>
          <w:sz w:val="24"/>
        </w:rPr>
      </w:pPr>
      <w:r>
        <w:rPr>
          <w:sz w:val="24"/>
        </w:rPr>
        <w:t>填报要求：</w:t>
      </w:r>
    </w:p>
    <w:p>
      <w:pPr>
        <w:spacing w:line="360" w:lineRule="auto"/>
        <w:ind w:firstLine="448" w:firstLineChars="200"/>
        <w:outlineLvl w:val="0"/>
        <w:rPr>
          <w:sz w:val="24"/>
        </w:rPr>
      </w:pPr>
      <w:r>
        <w:rPr>
          <w:sz w:val="24"/>
        </w:rPr>
        <w:t>1. 请投标人正确填写本表，所填内容将作为评分的依据。其内容或数据应与对应的证明资料相符，如果填写不完整或有误，不再享受上述政策优惠。</w:t>
      </w:r>
    </w:p>
    <w:p>
      <w:pPr>
        <w:spacing w:line="360" w:lineRule="auto"/>
        <w:ind w:firstLine="448" w:firstLineChars="200"/>
        <w:outlineLvl w:val="0"/>
        <w:rPr>
          <w:sz w:val="24"/>
        </w:rPr>
      </w:pPr>
      <w:r>
        <w:rPr>
          <w:sz w:val="24"/>
        </w:rPr>
        <w:t>2. 节能产品是指财政部和国家发展改革委员会公布现行的《节能产品政府采购清单》中的产品；环境标志产品是指财政部、</w:t>
      </w:r>
      <w:r>
        <w:rPr>
          <w:rFonts w:hint="eastAsia"/>
          <w:sz w:val="24"/>
        </w:rPr>
        <w:t>生态环境</w:t>
      </w:r>
      <w:r>
        <w:rPr>
          <w:sz w:val="24"/>
        </w:rPr>
        <w:t>部发布现行的《环境标志产品政府采购清单》中的产品。请提供《清单》中相关内容页（并对相关内容作圈记）。</w:t>
      </w:r>
    </w:p>
    <w:p>
      <w:pPr>
        <w:spacing w:line="360" w:lineRule="auto"/>
        <w:ind w:firstLine="3808" w:firstLineChars="1700"/>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560" w:lineRule="exact"/>
        <w:jc w:val="center"/>
        <w:rPr>
          <w:sz w:val="24"/>
        </w:rPr>
      </w:pPr>
      <w:r>
        <w:rPr>
          <w:sz w:val="24"/>
        </w:rPr>
        <w:br w:type="page"/>
      </w:r>
    </w:p>
    <w:p>
      <w:pPr>
        <w:snapToGrid w:val="0"/>
        <w:spacing w:line="360" w:lineRule="auto"/>
        <w:rPr>
          <w:b/>
          <w:sz w:val="24"/>
        </w:rPr>
      </w:pPr>
      <w:r>
        <w:rPr>
          <w:b/>
          <w:sz w:val="24"/>
          <w:szCs w:val="21"/>
        </w:rPr>
        <w:t>附件1</w:t>
      </w:r>
      <w:r>
        <w:rPr>
          <w:rFonts w:hint="eastAsia"/>
          <w:b/>
          <w:sz w:val="24"/>
          <w:szCs w:val="21"/>
        </w:rPr>
        <w:t>1</w:t>
      </w:r>
      <w:r>
        <w:rPr>
          <w:b/>
          <w:sz w:val="24"/>
          <w:szCs w:val="21"/>
        </w:rPr>
        <w:t>：</w:t>
      </w:r>
      <w:r>
        <w:rPr>
          <w:b/>
          <w:sz w:val="24"/>
        </w:rPr>
        <w:t>招标文件第一部分供应商资格要求的证件</w:t>
      </w:r>
    </w:p>
    <w:p>
      <w:pPr>
        <w:widowControl/>
        <w:jc w:val="left"/>
        <w:rPr>
          <w:sz w:val="24"/>
        </w:rPr>
      </w:pPr>
      <w:r>
        <w:rPr>
          <w:sz w:val="24"/>
        </w:rPr>
        <w:br w:type="page"/>
      </w:r>
    </w:p>
    <w:p>
      <w:pPr>
        <w:tabs>
          <w:tab w:val="left" w:pos="360"/>
        </w:tabs>
        <w:spacing w:line="360" w:lineRule="auto"/>
        <w:rPr>
          <w:b/>
          <w:sz w:val="24"/>
        </w:rPr>
      </w:pPr>
      <w:r>
        <w:rPr>
          <w:b/>
          <w:sz w:val="24"/>
        </w:rPr>
        <w:t>附件1</w:t>
      </w:r>
      <w:r>
        <w:rPr>
          <w:rFonts w:hint="eastAsia"/>
          <w:b/>
          <w:sz w:val="24"/>
        </w:rPr>
        <w:t>2</w:t>
      </w:r>
    </w:p>
    <w:p>
      <w:pPr>
        <w:tabs>
          <w:tab w:val="left" w:pos="360"/>
        </w:tabs>
        <w:spacing w:line="360" w:lineRule="auto"/>
        <w:ind w:firstLine="448" w:firstLineChars="200"/>
        <w:rPr>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3"/>
        <w:tabs>
          <w:tab w:val="left" w:pos="360"/>
        </w:tabs>
        <w:spacing w:line="360" w:lineRule="auto"/>
        <w:ind w:firstLine="446"/>
        <w:rPr>
          <w:sz w:val="24"/>
        </w:rPr>
      </w:pPr>
    </w:p>
    <w:p>
      <w:pPr>
        <w:pStyle w:val="3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3"/>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3"/>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3"/>
        <w:tabs>
          <w:tab w:val="left" w:pos="360"/>
        </w:tabs>
        <w:spacing w:line="360" w:lineRule="auto"/>
        <w:ind w:firstLine="0" w:firstLineChars="0"/>
        <w:rPr>
          <w:sz w:val="24"/>
          <w:u w:val="single"/>
        </w:rPr>
      </w:pPr>
      <w:r>
        <w:rPr>
          <w:rFonts w:hint="eastAsia"/>
          <w:sz w:val="24"/>
          <w:u w:val="single"/>
        </w:rPr>
        <w:t xml:space="preserve">                                                                     </w:t>
      </w:r>
    </w:p>
    <w:p>
      <w:pPr>
        <w:pStyle w:val="33"/>
        <w:tabs>
          <w:tab w:val="left" w:pos="360"/>
        </w:tabs>
        <w:spacing w:line="360" w:lineRule="auto"/>
        <w:ind w:firstLine="446"/>
        <w:rPr>
          <w:sz w:val="24"/>
        </w:rPr>
      </w:pPr>
    </w:p>
    <w:p>
      <w:pPr>
        <w:pStyle w:val="33"/>
        <w:spacing w:line="360" w:lineRule="auto"/>
        <w:ind w:firstLine="0" w:firstLineChars="0"/>
        <w:jc w:val="center"/>
        <w:rPr>
          <w:b/>
          <w:sz w:val="24"/>
        </w:rPr>
      </w:pPr>
    </w:p>
    <w:p>
      <w:pPr>
        <w:pStyle w:val="33"/>
        <w:spacing w:line="360" w:lineRule="auto"/>
        <w:ind w:firstLine="0" w:firstLineChars="0"/>
        <w:jc w:val="center"/>
        <w:rPr>
          <w:b/>
          <w:sz w:val="24"/>
        </w:rPr>
      </w:pPr>
    </w:p>
    <w:p>
      <w:pPr>
        <w:pStyle w:val="33"/>
        <w:spacing w:line="360" w:lineRule="auto"/>
        <w:ind w:firstLine="0" w:firstLineChars="0"/>
        <w:jc w:val="center"/>
        <w:rPr>
          <w:b/>
          <w:sz w:val="24"/>
        </w:rPr>
      </w:pPr>
      <w:r>
        <w:rPr>
          <w:rFonts w:hint="eastAsia"/>
          <w:b/>
          <w:sz w:val="24"/>
        </w:rPr>
        <w:t>证明材料</w:t>
      </w:r>
    </w:p>
    <w:p>
      <w:pPr>
        <w:pStyle w:val="33"/>
        <w:tabs>
          <w:tab w:val="left" w:pos="360"/>
        </w:tabs>
        <w:spacing w:line="360" w:lineRule="auto"/>
        <w:ind w:firstLine="446"/>
        <w:rPr>
          <w:sz w:val="24"/>
        </w:rPr>
      </w:pPr>
    </w:p>
    <w:p>
      <w:pPr>
        <w:pStyle w:val="3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3"/>
        <w:tabs>
          <w:tab w:val="left" w:pos="360"/>
        </w:tabs>
        <w:spacing w:line="360" w:lineRule="auto"/>
        <w:ind w:firstLine="446"/>
        <w:rPr>
          <w:sz w:val="24"/>
        </w:rPr>
      </w:pPr>
    </w:p>
    <w:p>
      <w:pPr>
        <w:pStyle w:val="33"/>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tabs>
          <w:tab w:val="left" w:pos="360"/>
        </w:tabs>
        <w:spacing w:line="360" w:lineRule="auto"/>
        <w:ind w:firstLine="448" w:firstLineChars="200"/>
        <w:rPr>
          <w:bCs/>
          <w:sz w:val="24"/>
        </w:rPr>
      </w:pPr>
      <w:r>
        <w:rPr>
          <w:bCs/>
          <w:sz w:val="24"/>
        </w:rPr>
        <w:t xml:space="preserve"> </w:t>
      </w:r>
    </w:p>
    <w:p>
      <w:pPr>
        <w:tabs>
          <w:tab w:val="left" w:pos="360"/>
        </w:tabs>
        <w:spacing w:line="360" w:lineRule="auto"/>
        <w:ind w:firstLine="448" w:firstLineChars="200"/>
        <w:rPr>
          <w:sz w:val="24"/>
        </w:rPr>
      </w:pPr>
    </w:p>
    <w:p>
      <w:pPr>
        <w:widowControl/>
        <w:jc w:val="left"/>
        <w:rPr>
          <w:sz w:val="24"/>
        </w:rPr>
      </w:pPr>
      <w:r>
        <w:rPr>
          <w:sz w:val="24"/>
        </w:rPr>
        <w:br w:type="page"/>
      </w:r>
    </w:p>
    <w:p>
      <w:pPr>
        <w:snapToGrid w:val="0"/>
        <w:spacing w:line="360" w:lineRule="auto"/>
        <w:rPr>
          <w:b/>
          <w:bCs/>
          <w:sz w:val="24"/>
        </w:rPr>
      </w:pPr>
      <w:r>
        <w:rPr>
          <w:b/>
          <w:sz w:val="24"/>
        </w:rPr>
        <w:t>附件1</w:t>
      </w:r>
      <w:r>
        <w:rPr>
          <w:rFonts w:hint="eastAsia"/>
          <w:b/>
          <w:sz w:val="24"/>
        </w:rPr>
        <w:t>3</w:t>
      </w:r>
      <w:r>
        <w:rPr>
          <w:b/>
          <w:sz w:val="24"/>
        </w:rPr>
        <w:t>：招标文件</w:t>
      </w:r>
      <w:r>
        <w:rPr>
          <w:b/>
          <w:bCs/>
          <w:sz w:val="24"/>
        </w:rPr>
        <w:t>评分因素及评标标准中要求的证明材料扫描件、方案等</w:t>
      </w:r>
    </w:p>
    <w:p>
      <w:pPr>
        <w:widowControl/>
        <w:jc w:val="left"/>
        <w:rPr>
          <w:b/>
          <w:bCs/>
          <w:sz w:val="24"/>
        </w:rPr>
      </w:pPr>
      <w:r>
        <w:rPr>
          <w:b/>
          <w:bCs/>
          <w:sz w:val="24"/>
        </w:rPr>
        <w:br w:type="page"/>
      </w:r>
    </w:p>
    <w:p>
      <w:pPr>
        <w:snapToGrid w:val="0"/>
        <w:spacing w:line="360" w:lineRule="auto"/>
        <w:rPr>
          <w:b/>
          <w:sz w:val="24"/>
          <w:szCs w:val="21"/>
        </w:rPr>
      </w:pPr>
      <w:r>
        <w:rPr>
          <w:b/>
          <w:bCs/>
          <w:sz w:val="24"/>
        </w:rPr>
        <w:t>附件1</w:t>
      </w:r>
      <w:r>
        <w:rPr>
          <w:rFonts w:hint="eastAsia"/>
          <w:b/>
          <w:bCs/>
          <w:sz w:val="24"/>
        </w:rPr>
        <w:t>4</w:t>
      </w:r>
      <w:r>
        <w:rPr>
          <w:b/>
          <w:bCs/>
          <w:sz w:val="24"/>
        </w:rPr>
        <w:t>：</w:t>
      </w:r>
      <w:r>
        <w:rPr>
          <w:b/>
          <w:sz w:val="24"/>
        </w:rPr>
        <w:t>投标人认为需要提供的其他资料</w:t>
      </w:r>
    </w:p>
    <w:p>
      <w:pPr>
        <w:tabs>
          <w:tab w:val="left" w:pos="360"/>
        </w:tabs>
        <w:spacing w:after="285" w:afterLines="100" w:line="360" w:lineRule="auto"/>
        <w:ind w:firstLine="448" w:firstLineChars="200"/>
        <w:rPr>
          <w:sz w:val="24"/>
          <w:szCs w:val="21"/>
        </w:rPr>
      </w:pPr>
    </w:p>
    <w:sectPr>
      <w:footerReference r:id="rId9"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20563"/>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41060"/>
      <w:docPartObj>
        <w:docPartGallery w:val="autotext"/>
      </w:docPartObj>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2">
    <w:nsid w:val="65DC1DFE"/>
    <w:multiLevelType w:val="singleLevel"/>
    <w:tmpl w:val="65DC1DF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BiMjIxMzU5NWUzYzkwOTA5NzExMDRhY2E1N2QifQ=="/>
  </w:docVars>
  <w:rsids>
    <w:rsidRoot w:val="00325832"/>
    <w:rsid w:val="00000C8A"/>
    <w:rsid w:val="00000D09"/>
    <w:rsid w:val="00001FD1"/>
    <w:rsid w:val="00003067"/>
    <w:rsid w:val="00003821"/>
    <w:rsid w:val="00004360"/>
    <w:rsid w:val="00010DCF"/>
    <w:rsid w:val="00011B73"/>
    <w:rsid w:val="00012B30"/>
    <w:rsid w:val="00013068"/>
    <w:rsid w:val="00013701"/>
    <w:rsid w:val="0001718B"/>
    <w:rsid w:val="00017C2D"/>
    <w:rsid w:val="000308AC"/>
    <w:rsid w:val="00032015"/>
    <w:rsid w:val="000347D0"/>
    <w:rsid w:val="00036A32"/>
    <w:rsid w:val="000403B6"/>
    <w:rsid w:val="0004130F"/>
    <w:rsid w:val="00041845"/>
    <w:rsid w:val="00042FFE"/>
    <w:rsid w:val="00045386"/>
    <w:rsid w:val="00046460"/>
    <w:rsid w:val="00050365"/>
    <w:rsid w:val="00056208"/>
    <w:rsid w:val="0005643C"/>
    <w:rsid w:val="00056EF3"/>
    <w:rsid w:val="000578CD"/>
    <w:rsid w:val="000607D4"/>
    <w:rsid w:val="000647FE"/>
    <w:rsid w:val="00065BDD"/>
    <w:rsid w:val="0007081F"/>
    <w:rsid w:val="000724F7"/>
    <w:rsid w:val="00072919"/>
    <w:rsid w:val="00073130"/>
    <w:rsid w:val="00074541"/>
    <w:rsid w:val="00074F44"/>
    <w:rsid w:val="000756A0"/>
    <w:rsid w:val="00075C85"/>
    <w:rsid w:val="00076BA5"/>
    <w:rsid w:val="000826F9"/>
    <w:rsid w:val="00086439"/>
    <w:rsid w:val="00091189"/>
    <w:rsid w:val="00092400"/>
    <w:rsid w:val="000A1883"/>
    <w:rsid w:val="000A4492"/>
    <w:rsid w:val="000A5CEA"/>
    <w:rsid w:val="000A5D7D"/>
    <w:rsid w:val="000A62E5"/>
    <w:rsid w:val="000A7C74"/>
    <w:rsid w:val="000B1CA7"/>
    <w:rsid w:val="000B202B"/>
    <w:rsid w:val="000B2975"/>
    <w:rsid w:val="000B3B22"/>
    <w:rsid w:val="000B4BF2"/>
    <w:rsid w:val="000B6024"/>
    <w:rsid w:val="000C337F"/>
    <w:rsid w:val="000C6CA8"/>
    <w:rsid w:val="000C7A3F"/>
    <w:rsid w:val="000D18BF"/>
    <w:rsid w:val="000D26D7"/>
    <w:rsid w:val="000D2F5A"/>
    <w:rsid w:val="000D514E"/>
    <w:rsid w:val="000D5DE9"/>
    <w:rsid w:val="000E50F9"/>
    <w:rsid w:val="000E5380"/>
    <w:rsid w:val="000E6A76"/>
    <w:rsid w:val="000F1202"/>
    <w:rsid w:val="000F1454"/>
    <w:rsid w:val="000F31B3"/>
    <w:rsid w:val="000F48D9"/>
    <w:rsid w:val="000F4D4E"/>
    <w:rsid w:val="000F5C82"/>
    <w:rsid w:val="000F6957"/>
    <w:rsid w:val="001038F9"/>
    <w:rsid w:val="001072ED"/>
    <w:rsid w:val="001079F4"/>
    <w:rsid w:val="00110A24"/>
    <w:rsid w:val="00111969"/>
    <w:rsid w:val="00113011"/>
    <w:rsid w:val="00115721"/>
    <w:rsid w:val="001165C6"/>
    <w:rsid w:val="0012139A"/>
    <w:rsid w:val="00121CDE"/>
    <w:rsid w:val="00122957"/>
    <w:rsid w:val="00123BF8"/>
    <w:rsid w:val="001256ED"/>
    <w:rsid w:val="0012609D"/>
    <w:rsid w:val="00130AD2"/>
    <w:rsid w:val="00131CF2"/>
    <w:rsid w:val="00136F51"/>
    <w:rsid w:val="0014081C"/>
    <w:rsid w:val="001411F4"/>
    <w:rsid w:val="0014149F"/>
    <w:rsid w:val="00141664"/>
    <w:rsid w:val="00143B4D"/>
    <w:rsid w:val="0014546E"/>
    <w:rsid w:val="00145D84"/>
    <w:rsid w:val="0014712D"/>
    <w:rsid w:val="001524A8"/>
    <w:rsid w:val="00152D1F"/>
    <w:rsid w:val="00155128"/>
    <w:rsid w:val="0016466C"/>
    <w:rsid w:val="001659F0"/>
    <w:rsid w:val="0016727F"/>
    <w:rsid w:val="001704C8"/>
    <w:rsid w:val="001707F2"/>
    <w:rsid w:val="00173561"/>
    <w:rsid w:val="00181ED5"/>
    <w:rsid w:val="001822E0"/>
    <w:rsid w:val="001834DA"/>
    <w:rsid w:val="001837F4"/>
    <w:rsid w:val="00183D6B"/>
    <w:rsid w:val="0018594D"/>
    <w:rsid w:val="00185D85"/>
    <w:rsid w:val="00187255"/>
    <w:rsid w:val="00192CBF"/>
    <w:rsid w:val="00193212"/>
    <w:rsid w:val="00193BCD"/>
    <w:rsid w:val="0019431D"/>
    <w:rsid w:val="00194FBC"/>
    <w:rsid w:val="00196A86"/>
    <w:rsid w:val="00196D6B"/>
    <w:rsid w:val="00196E07"/>
    <w:rsid w:val="001A142F"/>
    <w:rsid w:val="001A2919"/>
    <w:rsid w:val="001A3DE3"/>
    <w:rsid w:val="001A46F9"/>
    <w:rsid w:val="001A5FD4"/>
    <w:rsid w:val="001A609F"/>
    <w:rsid w:val="001A758C"/>
    <w:rsid w:val="001B5BEA"/>
    <w:rsid w:val="001C0E64"/>
    <w:rsid w:val="001C1981"/>
    <w:rsid w:val="001C4E69"/>
    <w:rsid w:val="001C50CC"/>
    <w:rsid w:val="001C53AD"/>
    <w:rsid w:val="001D1850"/>
    <w:rsid w:val="001D4FB9"/>
    <w:rsid w:val="001E3051"/>
    <w:rsid w:val="001E3CB7"/>
    <w:rsid w:val="001F2B50"/>
    <w:rsid w:val="001F345B"/>
    <w:rsid w:val="001F4AD6"/>
    <w:rsid w:val="001F65EF"/>
    <w:rsid w:val="001F6DCF"/>
    <w:rsid w:val="002027E3"/>
    <w:rsid w:val="002050F9"/>
    <w:rsid w:val="00206328"/>
    <w:rsid w:val="00206F1C"/>
    <w:rsid w:val="002113A2"/>
    <w:rsid w:val="00212E26"/>
    <w:rsid w:val="00214D65"/>
    <w:rsid w:val="0021638D"/>
    <w:rsid w:val="002164D4"/>
    <w:rsid w:val="00220883"/>
    <w:rsid w:val="00226247"/>
    <w:rsid w:val="00230077"/>
    <w:rsid w:val="00231FDD"/>
    <w:rsid w:val="002320BD"/>
    <w:rsid w:val="00233239"/>
    <w:rsid w:val="00243DC1"/>
    <w:rsid w:val="00244482"/>
    <w:rsid w:val="0024790F"/>
    <w:rsid w:val="00247A26"/>
    <w:rsid w:val="00250531"/>
    <w:rsid w:val="00251ED7"/>
    <w:rsid w:val="00256A4A"/>
    <w:rsid w:val="002575F6"/>
    <w:rsid w:val="00261C83"/>
    <w:rsid w:val="00262990"/>
    <w:rsid w:val="00264E8A"/>
    <w:rsid w:val="00265B2C"/>
    <w:rsid w:val="00266956"/>
    <w:rsid w:val="00266AAA"/>
    <w:rsid w:val="0027243A"/>
    <w:rsid w:val="002726FA"/>
    <w:rsid w:val="00274CF5"/>
    <w:rsid w:val="00275C48"/>
    <w:rsid w:val="00277AEF"/>
    <w:rsid w:val="002804EC"/>
    <w:rsid w:val="00280C49"/>
    <w:rsid w:val="00285C15"/>
    <w:rsid w:val="00290A8D"/>
    <w:rsid w:val="00292BE5"/>
    <w:rsid w:val="00293728"/>
    <w:rsid w:val="00293B4A"/>
    <w:rsid w:val="002948B5"/>
    <w:rsid w:val="00294986"/>
    <w:rsid w:val="00294EAF"/>
    <w:rsid w:val="00295416"/>
    <w:rsid w:val="00295883"/>
    <w:rsid w:val="00295FA6"/>
    <w:rsid w:val="0029610C"/>
    <w:rsid w:val="00297DAC"/>
    <w:rsid w:val="00297EAE"/>
    <w:rsid w:val="002A355E"/>
    <w:rsid w:val="002A4B3C"/>
    <w:rsid w:val="002A5E55"/>
    <w:rsid w:val="002B3BB4"/>
    <w:rsid w:val="002B3BFC"/>
    <w:rsid w:val="002B538F"/>
    <w:rsid w:val="002B7EB8"/>
    <w:rsid w:val="002C696D"/>
    <w:rsid w:val="002D09CD"/>
    <w:rsid w:val="002D17E4"/>
    <w:rsid w:val="002D1D64"/>
    <w:rsid w:val="002D3C4C"/>
    <w:rsid w:val="002D5B4E"/>
    <w:rsid w:val="002E0803"/>
    <w:rsid w:val="002E1053"/>
    <w:rsid w:val="002E3ECC"/>
    <w:rsid w:val="002E4551"/>
    <w:rsid w:val="002F1119"/>
    <w:rsid w:val="002F1EB9"/>
    <w:rsid w:val="002F245E"/>
    <w:rsid w:val="002F4792"/>
    <w:rsid w:val="002F75E1"/>
    <w:rsid w:val="003033F1"/>
    <w:rsid w:val="003036EA"/>
    <w:rsid w:val="003038FD"/>
    <w:rsid w:val="0031086D"/>
    <w:rsid w:val="00312772"/>
    <w:rsid w:val="00313073"/>
    <w:rsid w:val="0031461A"/>
    <w:rsid w:val="003159EF"/>
    <w:rsid w:val="00320416"/>
    <w:rsid w:val="003204B8"/>
    <w:rsid w:val="00321DA5"/>
    <w:rsid w:val="00321E5F"/>
    <w:rsid w:val="00322EA4"/>
    <w:rsid w:val="00323320"/>
    <w:rsid w:val="00325832"/>
    <w:rsid w:val="0033138A"/>
    <w:rsid w:val="003329E0"/>
    <w:rsid w:val="00332D63"/>
    <w:rsid w:val="00343849"/>
    <w:rsid w:val="00343D0F"/>
    <w:rsid w:val="003444AF"/>
    <w:rsid w:val="003473CD"/>
    <w:rsid w:val="0035257E"/>
    <w:rsid w:val="00355EEA"/>
    <w:rsid w:val="003562E3"/>
    <w:rsid w:val="00357146"/>
    <w:rsid w:val="00361A62"/>
    <w:rsid w:val="00364265"/>
    <w:rsid w:val="00367868"/>
    <w:rsid w:val="0037085F"/>
    <w:rsid w:val="00373C07"/>
    <w:rsid w:val="00374D2C"/>
    <w:rsid w:val="00377781"/>
    <w:rsid w:val="00377832"/>
    <w:rsid w:val="003839AE"/>
    <w:rsid w:val="00383A58"/>
    <w:rsid w:val="00387E01"/>
    <w:rsid w:val="00391345"/>
    <w:rsid w:val="003918BD"/>
    <w:rsid w:val="00391FD0"/>
    <w:rsid w:val="0039235B"/>
    <w:rsid w:val="003926CA"/>
    <w:rsid w:val="00394B36"/>
    <w:rsid w:val="00395727"/>
    <w:rsid w:val="003A4B1D"/>
    <w:rsid w:val="003A56FE"/>
    <w:rsid w:val="003A7FEB"/>
    <w:rsid w:val="003B23AD"/>
    <w:rsid w:val="003B6D2D"/>
    <w:rsid w:val="003B78E0"/>
    <w:rsid w:val="003C2DC5"/>
    <w:rsid w:val="003C3FFF"/>
    <w:rsid w:val="003C71A3"/>
    <w:rsid w:val="003C7A89"/>
    <w:rsid w:val="003D2EF8"/>
    <w:rsid w:val="003E10C3"/>
    <w:rsid w:val="003E2404"/>
    <w:rsid w:val="003E2BBE"/>
    <w:rsid w:val="003E4B1B"/>
    <w:rsid w:val="003E5355"/>
    <w:rsid w:val="003E5E39"/>
    <w:rsid w:val="003E6E8F"/>
    <w:rsid w:val="003E71CA"/>
    <w:rsid w:val="003E7703"/>
    <w:rsid w:val="003F68DF"/>
    <w:rsid w:val="003F6B18"/>
    <w:rsid w:val="003F7025"/>
    <w:rsid w:val="0040134A"/>
    <w:rsid w:val="00401ED7"/>
    <w:rsid w:val="00402916"/>
    <w:rsid w:val="00402BE6"/>
    <w:rsid w:val="0040553A"/>
    <w:rsid w:val="004055D4"/>
    <w:rsid w:val="0040569C"/>
    <w:rsid w:val="00410A95"/>
    <w:rsid w:val="00411416"/>
    <w:rsid w:val="00412894"/>
    <w:rsid w:val="00413972"/>
    <w:rsid w:val="004153D6"/>
    <w:rsid w:val="00415718"/>
    <w:rsid w:val="00415D1E"/>
    <w:rsid w:val="00415D39"/>
    <w:rsid w:val="00416AFE"/>
    <w:rsid w:val="004170BF"/>
    <w:rsid w:val="004176FC"/>
    <w:rsid w:val="00422DA1"/>
    <w:rsid w:val="00423508"/>
    <w:rsid w:val="00424D37"/>
    <w:rsid w:val="00424F07"/>
    <w:rsid w:val="004267C9"/>
    <w:rsid w:val="00427F8D"/>
    <w:rsid w:val="00431536"/>
    <w:rsid w:val="00431C42"/>
    <w:rsid w:val="00432C99"/>
    <w:rsid w:val="004360EE"/>
    <w:rsid w:val="004377AC"/>
    <w:rsid w:val="00437B93"/>
    <w:rsid w:val="00437DB0"/>
    <w:rsid w:val="004424FE"/>
    <w:rsid w:val="00443C74"/>
    <w:rsid w:val="00445313"/>
    <w:rsid w:val="00446120"/>
    <w:rsid w:val="00446DE7"/>
    <w:rsid w:val="004519C8"/>
    <w:rsid w:val="00454160"/>
    <w:rsid w:val="004559D5"/>
    <w:rsid w:val="00455F7E"/>
    <w:rsid w:val="00457B84"/>
    <w:rsid w:val="00460809"/>
    <w:rsid w:val="00461A5D"/>
    <w:rsid w:val="00467BBC"/>
    <w:rsid w:val="004725A7"/>
    <w:rsid w:val="00472C82"/>
    <w:rsid w:val="004740E4"/>
    <w:rsid w:val="00480BCD"/>
    <w:rsid w:val="004826E0"/>
    <w:rsid w:val="00492931"/>
    <w:rsid w:val="00493AFE"/>
    <w:rsid w:val="00495ECD"/>
    <w:rsid w:val="004A0F57"/>
    <w:rsid w:val="004A1657"/>
    <w:rsid w:val="004A18BA"/>
    <w:rsid w:val="004A1E95"/>
    <w:rsid w:val="004A3709"/>
    <w:rsid w:val="004A3B65"/>
    <w:rsid w:val="004A4E98"/>
    <w:rsid w:val="004A7516"/>
    <w:rsid w:val="004A7717"/>
    <w:rsid w:val="004A7F72"/>
    <w:rsid w:val="004B08E4"/>
    <w:rsid w:val="004B0B43"/>
    <w:rsid w:val="004B22B2"/>
    <w:rsid w:val="004B2DBB"/>
    <w:rsid w:val="004B4DF3"/>
    <w:rsid w:val="004B725D"/>
    <w:rsid w:val="004D3A89"/>
    <w:rsid w:val="004D5F22"/>
    <w:rsid w:val="004D6293"/>
    <w:rsid w:val="004D6546"/>
    <w:rsid w:val="004D7A25"/>
    <w:rsid w:val="004E0B40"/>
    <w:rsid w:val="004E0EC7"/>
    <w:rsid w:val="004E38E3"/>
    <w:rsid w:val="004E4E3B"/>
    <w:rsid w:val="004E6FDA"/>
    <w:rsid w:val="004F55DE"/>
    <w:rsid w:val="004F5AE9"/>
    <w:rsid w:val="004F7B5C"/>
    <w:rsid w:val="005004F6"/>
    <w:rsid w:val="00501E77"/>
    <w:rsid w:val="00502349"/>
    <w:rsid w:val="005028F4"/>
    <w:rsid w:val="00502D44"/>
    <w:rsid w:val="00506C8E"/>
    <w:rsid w:val="00506CD1"/>
    <w:rsid w:val="0051073E"/>
    <w:rsid w:val="005131C3"/>
    <w:rsid w:val="00513A4E"/>
    <w:rsid w:val="00517B95"/>
    <w:rsid w:val="005201BE"/>
    <w:rsid w:val="00521BFF"/>
    <w:rsid w:val="00522034"/>
    <w:rsid w:val="00524604"/>
    <w:rsid w:val="00525EE9"/>
    <w:rsid w:val="0053021A"/>
    <w:rsid w:val="0053026D"/>
    <w:rsid w:val="00530D50"/>
    <w:rsid w:val="005329BE"/>
    <w:rsid w:val="005334B4"/>
    <w:rsid w:val="005349D4"/>
    <w:rsid w:val="005359A4"/>
    <w:rsid w:val="00537D63"/>
    <w:rsid w:val="005407BF"/>
    <w:rsid w:val="00542508"/>
    <w:rsid w:val="00543020"/>
    <w:rsid w:val="00544107"/>
    <w:rsid w:val="005449BE"/>
    <w:rsid w:val="005506C7"/>
    <w:rsid w:val="0055079B"/>
    <w:rsid w:val="00550B2F"/>
    <w:rsid w:val="005553CF"/>
    <w:rsid w:val="00555DDD"/>
    <w:rsid w:val="0055739D"/>
    <w:rsid w:val="0056011E"/>
    <w:rsid w:val="00563595"/>
    <w:rsid w:val="0056453E"/>
    <w:rsid w:val="00570D6F"/>
    <w:rsid w:val="0057120E"/>
    <w:rsid w:val="005718A8"/>
    <w:rsid w:val="00572118"/>
    <w:rsid w:val="005725C3"/>
    <w:rsid w:val="00572E0A"/>
    <w:rsid w:val="005737C6"/>
    <w:rsid w:val="005739C1"/>
    <w:rsid w:val="00575DF4"/>
    <w:rsid w:val="00580546"/>
    <w:rsid w:val="005842A0"/>
    <w:rsid w:val="0058472E"/>
    <w:rsid w:val="00584D37"/>
    <w:rsid w:val="0058705D"/>
    <w:rsid w:val="0059473B"/>
    <w:rsid w:val="005948CC"/>
    <w:rsid w:val="005953CA"/>
    <w:rsid w:val="005960BA"/>
    <w:rsid w:val="005966DE"/>
    <w:rsid w:val="005A204A"/>
    <w:rsid w:val="005A6731"/>
    <w:rsid w:val="005A69F3"/>
    <w:rsid w:val="005B352D"/>
    <w:rsid w:val="005B631B"/>
    <w:rsid w:val="005B6420"/>
    <w:rsid w:val="005B681B"/>
    <w:rsid w:val="005C3C8F"/>
    <w:rsid w:val="005C463B"/>
    <w:rsid w:val="005C5EB1"/>
    <w:rsid w:val="005C60A0"/>
    <w:rsid w:val="005C68D4"/>
    <w:rsid w:val="005D1B17"/>
    <w:rsid w:val="005D34F6"/>
    <w:rsid w:val="005D3683"/>
    <w:rsid w:val="005D3AB2"/>
    <w:rsid w:val="005D59D2"/>
    <w:rsid w:val="005D792B"/>
    <w:rsid w:val="005E2966"/>
    <w:rsid w:val="005E6149"/>
    <w:rsid w:val="005E7FF4"/>
    <w:rsid w:val="005F09CC"/>
    <w:rsid w:val="005F2890"/>
    <w:rsid w:val="005F297C"/>
    <w:rsid w:val="005F3EB2"/>
    <w:rsid w:val="005F6C47"/>
    <w:rsid w:val="006001B2"/>
    <w:rsid w:val="006014DA"/>
    <w:rsid w:val="006038D0"/>
    <w:rsid w:val="00606818"/>
    <w:rsid w:val="00611A86"/>
    <w:rsid w:val="00611C1E"/>
    <w:rsid w:val="00612BD3"/>
    <w:rsid w:val="00612D4C"/>
    <w:rsid w:val="0061303B"/>
    <w:rsid w:val="00613FE4"/>
    <w:rsid w:val="00616B13"/>
    <w:rsid w:val="00620130"/>
    <w:rsid w:val="00622108"/>
    <w:rsid w:val="00622893"/>
    <w:rsid w:val="00625361"/>
    <w:rsid w:val="0062548D"/>
    <w:rsid w:val="00630B07"/>
    <w:rsid w:val="00631029"/>
    <w:rsid w:val="00631402"/>
    <w:rsid w:val="00632268"/>
    <w:rsid w:val="00633921"/>
    <w:rsid w:val="0063478F"/>
    <w:rsid w:val="00635DAE"/>
    <w:rsid w:val="00637E05"/>
    <w:rsid w:val="00641801"/>
    <w:rsid w:val="00641F58"/>
    <w:rsid w:val="00645626"/>
    <w:rsid w:val="006478CA"/>
    <w:rsid w:val="00650450"/>
    <w:rsid w:val="006538BF"/>
    <w:rsid w:val="00656777"/>
    <w:rsid w:val="006572FA"/>
    <w:rsid w:val="00663645"/>
    <w:rsid w:val="00663FFB"/>
    <w:rsid w:val="00665F3D"/>
    <w:rsid w:val="00667577"/>
    <w:rsid w:val="00670BE5"/>
    <w:rsid w:val="006741E5"/>
    <w:rsid w:val="006802EF"/>
    <w:rsid w:val="00685987"/>
    <w:rsid w:val="00692004"/>
    <w:rsid w:val="00693081"/>
    <w:rsid w:val="0069668C"/>
    <w:rsid w:val="006A0991"/>
    <w:rsid w:val="006A0B69"/>
    <w:rsid w:val="006A1C8A"/>
    <w:rsid w:val="006A1DE2"/>
    <w:rsid w:val="006A437D"/>
    <w:rsid w:val="006A4825"/>
    <w:rsid w:val="006A4BDB"/>
    <w:rsid w:val="006A5D28"/>
    <w:rsid w:val="006A6F51"/>
    <w:rsid w:val="006A75E7"/>
    <w:rsid w:val="006B0EC3"/>
    <w:rsid w:val="006B2CE0"/>
    <w:rsid w:val="006B52A7"/>
    <w:rsid w:val="006C0461"/>
    <w:rsid w:val="006C1836"/>
    <w:rsid w:val="006C23C2"/>
    <w:rsid w:val="006C52B5"/>
    <w:rsid w:val="006C59A5"/>
    <w:rsid w:val="006C7FB3"/>
    <w:rsid w:val="006E0CD2"/>
    <w:rsid w:val="006E1997"/>
    <w:rsid w:val="006E2EB7"/>
    <w:rsid w:val="006E76A5"/>
    <w:rsid w:val="006F0645"/>
    <w:rsid w:val="006F1700"/>
    <w:rsid w:val="006F239F"/>
    <w:rsid w:val="006F2555"/>
    <w:rsid w:val="006F35A9"/>
    <w:rsid w:val="0070070A"/>
    <w:rsid w:val="00702C0D"/>
    <w:rsid w:val="0071193F"/>
    <w:rsid w:val="007157A0"/>
    <w:rsid w:val="00722BBA"/>
    <w:rsid w:val="007236BA"/>
    <w:rsid w:val="007238DD"/>
    <w:rsid w:val="00723D02"/>
    <w:rsid w:val="00723D84"/>
    <w:rsid w:val="00723EDE"/>
    <w:rsid w:val="00724717"/>
    <w:rsid w:val="0072660C"/>
    <w:rsid w:val="00727CF8"/>
    <w:rsid w:val="00730404"/>
    <w:rsid w:val="00730F61"/>
    <w:rsid w:val="00731AB7"/>
    <w:rsid w:val="0074180F"/>
    <w:rsid w:val="00742597"/>
    <w:rsid w:val="007446DE"/>
    <w:rsid w:val="00746019"/>
    <w:rsid w:val="00746D3F"/>
    <w:rsid w:val="00747D12"/>
    <w:rsid w:val="00750300"/>
    <w:rsid w:val="00750AB2"/>
    <w:rsid w:val="007532A0"/>
    <w:rsid w:val="00755358"/>
    <w:rsid w:val="007558DB"/>
    <w:rsid w:val="00755AB9"/>
    <w:rsid w:val="00757FB9"/>
    <w:rsid w:val="00760746"/>
    <w:rsid w:val="007618B9"/>
    <w:rsid w:val="007621ED"/>
    <w:rsid w:val="00766299"/>
    <w:rsid w:val="00766870"/>
    <w:rsid w:val="007702C7"/>
    <w:rsid w:val="007737A3"/>
    <w:rsid w:val="007738A0"/>
    <w:rsid w:val="0077606A"/>
    <w:rsid w:val="0078146D"/>
    <w:rsid w:val="00781801"/>
    <w:rsid w:val="0078423C"/>
    <w:rsid w:val="00784C33"/>
    <w:rsid w:val="0079363C"/>
    <w:rsid w:val="00793B6E"/>
    <w:rsid w:val="0079785B"/>
    <w:rsid w:val="007A4BB5"/>
    <w:rsid w:val="007A4FB6"/>
    <w:rsid w:val="007A5AEB"/>
    <w:rsid w:val="007A6AA6"/>
    <w:rsid w:val="007B0F26"/>
    <w:rsid w:val="007B1550"/>
    <w:rsid w:val="007B1B3A"/>
    <w:rsid w:val="007B4E82"/>
    <w:rsid w:val="007B5D7F"/>
    <w:rsid w:val="007B7C1E"/>
    <w:rsid w:val="007C1D1B"/>
    <w:rsid w:val="007D05B4"/>
    <w:rsid w:val="007D6EC1"/>
    <w:rsid w:val="007E4CD6"/>
    <w:rsid w:val="007E73D8"/>
    <w:rsid w:val="007F1F0C"/>
    <w:rsid w:val="007F4D3E"/>
    <w:rsid w:val="007F5589"/>
    <w:rsid w:val="007F55DE"/>
    <w:rsid w:val="007F7510"/>
    <w:rsid w:val="007F79A8"/>
    <w:rsid w:val="0080028A"/>
    <w:rsid w:val="008005A8"/>
    <w:rsid w:val="008029B5"/>
    <w:rsid w:val="00802CE5"/>
    <w:rsid w:val="00805098"/>
    <w:rsid w:val="00807A77"/>
    <w:rsid w:val="008133BC"/>
    <w:rsid w:val="00814C9A"/>
    <w:rsid w:val="008259FC"/>
    <w:rsid w:val="0082733F"/>
    <w:rsid w:val="00832534"/>
    <w:rsid w:val="00834EDE"/>
    <w:rsid w:val="00837228"/>
    <w:rsid w:val="008444AE"/>
    <w:rsid w:val="008465BF"/>
    <w:rsid w:val="008503C8"/>
    <w:rsid w:val="008513E9"/>
    <w:rsid w:val="008527D8"/>
    <w:rsid w:val="00852DD8"/>
    <w:rsid w:val="00852EBB"/>
    <w:rsid w:val="00854ED1"/>
    <w:rsid w:val="0085585F"/>
    <w:rsid w:val="00855FFB"/>
    <w:rsid w:val="008563E3"/>
    <w:rsid w:val="00856C7F"/>
    <w:rsid w:val="00860241"/>
    <w:rsid w:val="0086049F"/>
    <w:rsid w:val="00861293"/>
    <w:rsid w:val="00864087"/>
    <w:rsid w:val="0086630A"/>
    <w:rsid w:val="00866505"/>
    <w:rsid w:val="00867303"/>
    <w:rsid w:val="00872A7C"/>
    <w:rsid w:val="00874016"/>
    <w:rsid w:val="00883479"/>
    <w:rsid w:val="00883610"/>
    <w:rsid w:val="00885DD4"/>
    <w:rsid w:val="00886809"/>
    <w:rsid w:val="00887370"/>
    <w:rsid w:val="0088750D"/>
    <w:rsid w:val="008879C5"/>
    <w:rsid w:val="0089002A"/>
    <w:rsid w:val="00890051"/>
    <w:rsid w:val="00890E84"/>
    <w:rsid w:val="0089306D"/>
    <w:rsid w:val="008951B3"/>
    <w:rsid w:val="00895914"/>
    <w:rsid w:val="008964BB"/>
    <w:rsid w:val="0089770B"/>
    <w:rsid w:val="008A1E8A"/>
    <w:rsid w:val="008A5D68"/>
    <w:rsid w:val="008B202B"/>
    <w:rsid w:val="008B3001"/>
    <w:rsid w:val="008B3CFE"/>
    <w:rsid w:val="008B5DBC"/>
    <w:rsid w:val="008C3C92"/>
    <w:rsid w:val="008C4A14"/>
    <w:rsid w:val="008C4E8A"/>
    <w:rsid w:val="008D36CC"/>
    <w:rsid w:val="008D394D"/>
    <w:rsid w:val="008D4422"/>
    <w:rsid w:val="008D640B"/>
    <w:rsid w:val="008E2867"/>
    <w:rsid w:val="008E3C04"/>
    <w:rsid w:val="008E56E2"/>
    <w:rsid w:val="008E57F5"/>
    <w:rsid w:val="008F35A8"/>
    <w:rsid w:val="008F366C"/>
    <w:rsid w:val="008F79DE"/>
    <w:rsid w:val="009016E3"/>
    <w:rsid w:val="009017F8"/>
    <w:rsid w:val="00901EE3"/>
    <w:rsid w:val="0090766A"/>
    <w:rsid w:val="0091132C"/>
    <w:rsid w:val="00912B7A"/>
    <w:rsid w:val="00913750"/>
    <w:rsid w:val="00913DFF"/>
    <w:rsid w:val="00913F09"/>
    <w:rsid w:val="0091445C"/>
    <w:rsid w:val="0091647A"/>
    <w:rsid w:val="00916DF9"/>
    <w:rsid w:val="00916EDA"/>
    <w:rsid w:val="00917496"/>
    <w:rsid w:val="0092151E"/>
    <w:rsid w:val="0092600D"/>
    <w:rsid w:val="0093630E"/>
    <w:rsid w:val="00936E99"/>
    <w:rsid w:val="009412AF"/>
    <w:rsid w:val="0094212E"/>
    <w:rsid w:val="0094458A"/>
    <w:rsid w:val="0094466C"/>
    <w:rsid w:val="00946039"/>
    <w:rsid w:val="00947EC9"/>
    <w:rsid w:val="00951A8D"/>
    <w:rsid w:val="009533CE"/>
    <w:rsid w:val="00955668"/>
    <w:rsid w:val="00955B43"/>
    <w:rsid w:val="0095612C"/>
    <w:rsid w:val="00962A82"/>
    <w:rsid w:val="009662F0"/>
    <w:rsid w:val="00974B43"/>
    <w:rsid w:val="0097719D"/>
    <w:rsid w:val="00977B32"/>
    <w:rsid w:val="00977FB6"/>
    <w:rsid w:val="009809F0"/>
    <w:rsid w:val="009820A2"/>
    <w:rsid w:val="009829B0"/>
    <w:rsid w:val="00982B7E"/>
    <w:rsid w:val="00983903"/>
    <w:rsid w:val="00984AB0"/>
    <w:rsid w:val="0098544D"/>
    <w:rsid w:val="00985ABC"/>
    <w:rsid w:val="00987484"/>
    <w:rsid w:val="009908ED"/>
    <w:rsid w:val="00994D53"/>
    <w:rsid w:val="0099688A"/>
    <w:rsid w:val="00996CD8"/>
    <w:rsid w:val="009A02C9"/>
    <w:rsid w:val="009A0887"/>
    <w:rsid w:val="009A0D32"/>
    <w:rsid w:val="009A3371"/>
    <w:rsid w:val="009A3F39"/>
    <w:rsid w:val="009A418D"/>
    <w:rsid w:val="009A4641"/>
    <w:rsid w:val="009A5F5B"/>
    <w:rsid w:val="009A65E1"/>
    <w:rsid w:val="009A70B1"/>
    <w:rsid w:val="009A7596"/>
    <w:rsid w:val="009B477B"/>
    <w:rsid w:val="009B50B5"/>
    <w:rsid w:val="009C0311"/>
    <w:rsid w:val="009C0EA3"/>
    <w:rsid w:val="009C69C7"/>
    <w:rsid w:val="009D187B"/>
    <w:rsid w:val="009D1E28"/>
    <w:rsid w:val="009D2385"/>
    <w:rsid w:val="009D24A0"/>
    <w:rsid w:val="009D2A2A"/>
    <w:rsid w:val="009D5C8E"/>
    <w:rsid w:val="009E0499"/>
    <w:rsid w:val="009E105F"/>
    <w:rsid w:val="009E2558"/>
    <w:rsid w:val="009E3B6B"/>
    <w:rsid w:val="009E44DC"/>
    <w:rsid w:val="009E7D35"/>
    <w:rsid w:val="009F2269"/>
    <w:rsid w:val="009F2A1C"/>
    <w:rsid w:val="009F3382"/>
    <w:rsid w:val="009F598A"/>
    <w:rsid w:val="009F5AC3"/>
    <w:rsid w:val="009F60C9"/>
    <w:rsid w:val="009F7705"/>
    <w:rsid w:val="00A002FE"/>
    <w:rsid w:val="00A0055C"/>
    <w:rsid w:val="00A00EA3"/>
    <w:rsid w:val="00A01308"/>
    <w:rsid w:val="00A02228"/>
    <w:rsid w:val="00A03C90"/>
    <w:rsid w:val="00A03EDD"/>
    <w:rsid w:val="00A071FC"/>
    <w:rsid w:val="00A07548"/>
    <w:rsid w:val="00A11FFD"/>
    <w:rsid w:val="00A12C8D"/>
    <w:rsid w:val="00A13EEB"/>
    <w:rsid w:val="00A148A6"/>
    <w:rsid w:val="00A14B45"/>
    <w:rsid w:val="00A2223B"/>
    <w:rsid w:val="00A22269"/>
    <w:rsid w:val="00A252F0"/>
    <w:rsid w:val="00A264A9"/>
    <w:rsid w:val="00A26C90"/>
    <w:rsid w:val="00A34CD9"/>
    <w:rsid w:val="00A3561D"/>
    <w:rsid w:val="00A35BC5"/>
    <w:rsid w:val="00A440E2"/>
    <w:rsid w:val="00A45815"/>
    <w:rsid w:val="00A5132F"/>
    <w:rsid w:val="00A5241A"/>
    <w:rsid w:val="00A53C66"/>
    <w:rsid w:val="00A55CB3"/>
    <w:rsid w:val="00A57669"/>
    <w:rsid w:val="00A57696"/>
    <w:rsid w:val="00A60795"/>
    <w:rsid w:val="00A60AF2"/>
    <w:rsid w:val="00A62455"/>
    <w:rsid w:val="00A63263"/>
    <w:rsid w:val="00A64F8F"/>
    <w:rsid w:val="00A67797"/>
    <w:rsid w:val="00A711EB"/>
    <w:rsid w:val="00A8009D"/>
    <w:rsid w:val="00A80AAB"/>
    <w:rsid w:val="00A81B92"/>
    <w:rsid w:val="00A83C11"/>
    <w:rsid w:val="00A90ABF"/>
    <w:rsid w:val="00A90C1C"/>
    <w:rsid w:val="00A90E13"/>
    <w:rsid w:val="00A917A0"/>
    <w:rsid w:val="00A92667"/>
    <w:rsid w:val="00A92A1A"/>
    <w:rsid w:val="00A936E7"/>
    <w:rsid w:val="00A95244"/>
    <w:rsid w:val="00A9562A"/>
    <w:rsid w:val="00A958D1"/>
    <w:rsid w:val="00A97408"/>
    <w:rsid w:val="00A976D3"/>
    <w:rsid w:val="00A97998"/>
    <w:rsid w:val="00A979D9"/>
    <w:rsid w:val="00A97F10"/>
    <w:rsid w:val="00AA0692"/>
    <w:rsid w:val="00AA0FDA"/>
    <w:rsid w:val="00AA1A37"/>
    <w:rsid w:val="00AA2CF3"/>
    <w:rsid w:val="00AA3118"/>
    <w:rsid w:val="00AA33BA"/>
    <w:rsid w:val="00AA6B88"/>
    <w:rsid w:val="00AA71C0"/>
    <w:rsid w:val="00AA772B"/>
    <w:rsid w:val="00AA7E39"/>
    <w:rsid w:val="00AB0F96"/>
    <w:rsid w:val="00AB1AAB"/>
    <w:rsid w:val="00AB1AB2"/>
    <w:rsid w:val="00AB2B64"/>
    <w:rsid w:val="00AB472B"/>
    <w:rsid w:val="00AB59A6"/>
    <w:rsid w:val="00AC04F7"/>
    <w:rsid w:val="00AC0B2F"/>
    <w:rsid w:val="00AC6628"/>
    <w:rsid w:val="00AC7CD8"/>
    <w:rsid w:val="00AD4123"/>
    <w:rsid w:val="00AE0CBC"/>
    <w:rsid w:val="00AE15EA"/>
    <w:rsid w:val="00AE1773"/>
    <w:rsid w:val="00AE2ECF"/>
    <w:rsid w:val="00AE4505"/>
    <w:rsid w:val="00AE5C1F"/>
    <w:rsid w:val="00AF06D9"/>
    <w:rsid w:val="00AF3DA6"/>
    <w:rsid w:val="00AF4C34"/>
    <w:rsid w:val="00B012DE"/>
    <w:rsid w:val="00B05458"/>
    <w:rsid w:val="00B07152"/>
    <w:rsid w:val="00B1328E"/>
    <w:rsid w:val="00B13707"/>
    <w:rsid w:val="00B13CD0"/>
    <w:rsid w:val="00B17E85"/>
    <w:rsid w:val="00B208E4"/>
    <w:rsid w:val="00B2233E"/>
    <w:rsid w:val="00B24A31"/>
    <w:rsid w:val="00B25107"/>
    <w:rsid w:val="00B27648"/>
    <w:rsid w:val="00B31F81"/>
    <w:rsid w:val="00B32A76"/>
    <w:rsid w:val="00B32C88"/>
    <w:rsid w:val="00B33141"/>
    <w:rsid w:val="00B331B2"/>
    <w:rsid w:val="00B34849"/>
    <w:rsid w:val="00B37FB0"/>
    <w:rsid w:val="00B41CF8"/>
    <w:rsid w:val="00B4237D"/>
    <w:rsid w:val="00B42656"/>
    <w:rsid w:val="00B443B4"/>
    <w:rsid w:val="00B44EB2"/>
    <w:rsid w:val="00B45888"/>
    <w:rsid w:val="00B45B15"/>
    <w:rsid w:val="00B46E4C"/>
    <w:rsid w:val="00B51D96"/>
    <w:rsid w:val="00B51DD5"/>
    <w:rsid w:val="00B526E2"/>
    <w:rsid w:val="00B53BD7"/>
    <w:rsid w:val="00B54B2C"/>
    <w:rsid w:val="00B55825"/>
    <w:rsid w:val="00B558D2"/>
    <w:rsid w:val="00B56096"/>
    <w:rsid w:val="00B662C3"/>
    <w:rsid w:val="00B6637D"/>
    <w:rsid w:val="00B666EF"/>
    <w:rsid w:val="00B671A0"/>
    <w:rsid w:val="00B6721D"/>
    <w:rsid w:val="00B672EC"/>
    <w:rsid w:val="00B67A36"/>
    <w:rsid w:val="00B7176B"/>
    <w:rsid w:val="00B728F9"/>
    <w:rsid w:val="00B8108E"/>
    <w:rsid w:val="00B8141F"/>
    <w:rsid w:val="00B84566"/>
    <w:rsid w:val="00B85D52"/>
    <w:rsid w:val="00B86890"/>
    <w:rsid w:val="00B91501"/>
    <w:rsid w:val="00BA1219"/>
    <w:rsid w:val="00BA33E7"/>
    <w:rsid w:val="00BA48C0"/>
    <w:rsid w:val="00BA4E83"/>
    <w:rsid w:val="00BA7E36"/>
    <w:rsid w:val="00BB21E1"/>
    <w:rsid w:val="00BC5201"/>
    <w:rsid w:val="00BC5D73"/>
    <w:rsid w:val="00BC6742"/>
    <w:rsid w:val="00BC74D7"/>
    <w:rsid w:val="00BC78CE"/>
    <w:rsid w:val="00BC7F52"/>
    <w:rsid w:val="00BD0EA1"/>
    <w:rsid w:val="00BD11D6"/>
    <w:rsid w:val="00BD5A2E"/>
    <w:rsid w:val="00BD751A"/>
    <w:rsid w:val="00BE20B2"/>
    <w:rsid w:val="00BE4FFC"/>
    <w:rsid w:val="00BF1387"/>
    <w:rsid w:val="00BF27F1"/>
    <w:rsid w:val="00BF3297"/>
    <w:rsid w:val="00BF370B"/>
    <w:rsid w:val="00BF3B42"/>
    <w:rsid w:val="00BF402E"/>
    <w:rsid w:val="00BF735B"/>
    <w:rsid w:val="00C01AD0"/>
    <w:rsid w:val="00C030CD"/>
    <w:rsid w:val="00C0504F"/>
    <w:rsid w:val="00C070CF"/>
    <w:rsid w:val="00C0765F"/>
    <w:rsid w:val="00C07C56"/>
    <w:rsid w:val="00C137F2"/>
    <w:rsid w:val="00C1421A"/>
    <w:rsid w:val="00C14FF0"/>
    <w:rsid w:val="00C223F2"/>
    <w:rsid w:val="00C23D41"/>
    <w:rsid w:val="00C24668"/>
    <w:rsid w:val="00C258AC"/>
    <w:rsid w:val="00C27942"/>
    <w:rsid w:val="00C337B7"/>
    <w:rsid w:val="00C352E4"/>
    <w:rsid w:val="00C37976"/>
    <w:rsid w:val="00C448F8"/>
    <w:rsid w:val="00C4698B"/>
    <w:rsid w:val="00C50004"/>
    <w:rsid w:val="00C53436"/>
    <w:rsid w:val="00C55371"/>
    <w:rsid w:val="00C553EC"/>
    <w:rsid w:val="00C555A4"/>
    <w:rsid w:val="00C55AB7"/>
    <w:rsid w:val="00C55ACC"/>
    <w:rsid w:val="00C6143B"/>
    <w:rsid w:val="00C637D6"/>
    <w:rsid w:val="00C6657F"/>
    <w:rsid w:val="00C67013"/>
    <w:rsid w:val="00C720A2"/>
    <w:rsid w:val="00C7230E"/>
    <w:rsid w:val="00C72A5F"/>
    <w:rsid w:val="00C74286"/>
    <w:rsid w:val="00C8474B"/>
    <w:rsid w:val="00C90170"/>
    <w:rsid w:val="00C93267"/>
    <w:rsid w:val="00C96973"/>
    <w:rsid w:val="00C96ED4"/>
    <w:rsid w:val="00CA0D71"/>
    <w:rsid w:val="00CA262C"/>
    <w:rsid w:val="00CA2C16"/>
    <w:rsid w:val="00CA4635"/>
    <w:rsid w:val="00CB0677"/>
    <w:rsid w:val="00CB1696"/>
    <w:rsid w:val="00CC3889"/>
    <w:rsid w:val="00CC3D49"/>
    <w:rsid w:val="00CC7A84"/>
    <w:rsid w:val="00CD0191"/>
    <w:rsid w:val="00CD0B61"/>
    <w:rsid w:val="00CD0FED"/>
    <w:rsid w:val="00CD214D"/>
    <w:rsid w:val="00CD4977"/>
    <w:rsid w:val="00CD4D29"/>
    <w:rsid w:val="00CD5427"/>
    <w:rsid w:val="00CE143E"/>
    <w:rsid w:val="00CE1D5D"/>
    <w:rsid w:val="00CE356F"/>
    <w:rsid w:val="00CE48BF"/>
    <w:rsid w:val="00CF1AAC"/>
    <w:rsid w:val="00CF31B8"/>
    <w:rsid w:val="00CF3D52"/>
    <w:rsid w:val="00CF4653"/>
    <w:rsid w:val="00CF492A"/>
    <w:rsid w:val="00CF5AB7"/>
    <w:rsid w:val="00CF6EAD"/>
    <w:rsid w:val="00CF7006"/>
    <w:rsid w:val="00D059B8"/>
    <w:rsid w:val="00D06931"/>
    <w:rsid w:val="00D07C99"/>
    <w:rsid w:val="00D12CAF"/>
    <w:rsid w:val="00D13280"/>
    <w:rsid w:val="00D2261A"/>
    <w:rsid w:val="00D23135"/>
    <w:rsid w:val="00D23EA4"/>
    <w:rsid w:val="00D260FE"/>
    <w:rsid w:val="00D3282F"/>
    <w:rsid w:val="00D40519"/>
    <w:rsid w:val="00D41CD8"/>
    <w:rsid w:val="00D4221A"/>
    <w:rsid w:val="00D43D4D"/>
    <w:rsid w:val="00D57E7B"/>
    <w:rsid w:val="00D616C1"/>
    <w:rsid w:val="00D65F9B"/>
    <w:rsid w:val="00D73247"/>
    <w:rsid w:val="00D7656B"/>
    <w:rsid w:val="00D76F11"/>
    <w:rsid w:val="00D80DE2"/>
    <w:rsid w:val="00D81CE1"/>
    <w:rsid w:val="00D8458A"/>
    <w:rsid w:val="00D85E94"/>
    <w:rsid w:val="00D86D40"/>
    <w:rsid w:val="00D872E5"/>
    <w:rsid w:val="00D873D6"/>
    <w:rsid w:val="00D87480"/>
    <w:rsid w:val="00D87A4B"/>
    <w:rsid w:val="00D87A82"/>
    <w:rsid w:val="00D94293"/>
    <w:rsid w:val="00D9463C"/>
    <w:rsid w:val="00D94BC3"/>
    <w:rsid w:val="00D9515A"/>
    <w:rsid w:val="00DA059D"/>
    <w:rsid w:val="00DA1C99"/>
    <w:rsid w:val="00DA30D4"/>
    <w:rsid w:val="00DA3574"/>
    <w:rsid w:val="00DA3B07"/>
    <w:rsid w:val="00DA44A4"/>
    <w:rsid w:val="00DA4AE5"/>
    <w:rsid w:val="00DA5924"/>
    <w:rsid w:val="00DA6CE7"/>
    <w:rsid w:val="00DB0095"/>
    <w:rsid w:val="00DB1959"/>
    <w:rsid w:val="00DB3474"/>
    <w:rsid w:val="00DB682A"/>
    <w:rsid w:val="00DC1E27"/>
    <w:rsid w:val="00DC5888"/>
    <w:rsid w:val="00DD1FB1"/>
    <w:rsid w:val="00DD4A57"/>
    <w:rsid w:val="00DD4D01"/>
    <w:rsid w:val="00DD5AAB"/>
    <w:rsid w:val="00DD7985"/>
    <w:rsid w:val="00DE011F"/>
    <w:rsid w:val="00DE2842"/>
    <w:rsid w:val="00DE45AA"/>
    <w:rsid w:val="00DE4901"/>
    <w:rsid w:val="00DE4CC9"/>
    <w:rsid w:val="00DE5B26"/>
    <w:rsid w:val="00DE78D0"/>
    <w:rsid w:val="00DF03C2"/>
    <w:rsid w:val="00DF12BE"/>
    <w:rsid w:val="00DF2A97"/>
    <w:rsid w:val="00DF3628"/>
    <w:rsid w:val="00DF3ED5"/>
    <w:rsid w:val="00DF650C"/>
    <w:rsid w:val="00E03E6D"/>
    <w:rsid w:val="00E0438B"/>
    <w:rsid w:val="00E07B01"/>
    <w:rsid w:val="00E11279"/>
    <w:rsid w:val="00E11A31"/>
    <w:rsid w:val="00E12E28"/>
    <w:rsid w:val="00E15D14"/>
    <w:rsid w:val="00E20F2B"/>
    <w:rsid w:val="00E227FF"/>
    <w:rsid w:val="00E26969"/>
    <w:rsid w:val="00E269BA"/>
    <w:rsid w:val="00E276DD"/>
    <w:rsid w:val="00E349FE"/>
    <w:rsid w:val="00E3578B"/>
    <w:rsid w:val="00E40D53"/>
    <w:rsid w:val="00E41D23"/>
    <w:rsid w:val="00E455E0"/>
    <w:rsid w:val="00E51DD4"/>
    <w:rsid w:val="00E53369"/>
    <w:rsid w:val="00E553AE"/>
    <w:rsid w:val="00E575B1"/>
    <w:rsid w:val="00E578C5"/>
    <w:rsid w:val="00E60CAD"/>
    <w:rsid w:val="00E67265"/>
    <w:rsid w:val="00E70592"/>
    <w:rsid w:val="00E708ED"/>
    <w:rsid w:val="00E7124A"/>
    <w:rsid w:val="00E713E6"/>
    <w:rsid w:val="00E716E0"/>
    <w:rsid w:val="00E717D3"/>
    <w:rsid w:val="00E71BED"/>
    <w:rsid w:val="00E7331B"/>
    <w:rsid w:val="00E7539D"/>
    <w:rsid w:val="00E753DF"/>
    <w:rsid w:val="00E77325"/>
    <w:rsid w:val="00E81B33"/>
    <w:rsid w:val="00E81D71"/>
    <w:rsid w:val="00E839EF"/>
    <w:rsid w:val="00E84FFC"/>
    <w:rsid w:val="00E85C37"/>
    <w:rsid w:val="00E902A9"/>
    <w:rsid w:val="00E92A1C"/>
    <w:rsid w:val="00E92B29"/>
    <w:rsid w:val="00E92C60"/>
    <w:rsid w:val="00E940DA"/>
    <w:rsid w:val="00E94513"/>
    <w:rsid w:val="00EA027B"/>
    <w:rsid w:val="00EA3BA2"/>
    <w:rsid w:val="00EA43F5"/>
    <w:rsid w:val="00EA48B8"/>
    <w:rsid w:val="00EA61D7"/>
    <w:rsid w:val="00EA6EC8"/>
    <w:rsid w:val="00EB01B6"/>
    <w:rsid w:val="00EB1428"/>
    <w:rsid w:val="00EB1C5B"/>
    <w:rsid w:val="00EB1F35"/>
    <w:rsid w:val="00EB39C5"/>
    <w:rsid w:val="00EB47D5"/>
    <w:rsid w:val="00EB6C44"/>
    <w:rsid w:val="00EB70C1"/>
    <w:rsid w:val="00EC07CF"/>
    <w:rsid w:val="00EC0FB5"/>
    <w:rsid w:val="00EC29FA"/>
    <w:rsid w:val="00EC2FAA"/>
    <w:rsid w:val="00EC36BA"/>
    <w:rsid w:val="00EC3ACA"/>
    <w:rsid w:val="00EC554F"/>
    <w:rsid w:val="00EC6E7D"/>
    <w:rsid w:val="00ED080B"/>
    <w:rsid w:val="00ED0E03"/>
    <w:rsid w:val="00ED3B82"/>
    <w:rsid w:val="00ED3E72"/>
    <w:rsid w:val="00ED4B6D"/>
    <w:rsid w:val="00ED6893"/>
    <w:rsid w:val="00EE466B"/>
    <w:rsid w:val="00EE564B"/>
    <w:rsid w:val="00EE79D6"/>
    <w:rsid w:val="00EE7E69"/>
    <w:rsid w:val="00EF0D03"/>
    <w:rsid w:val="00EF0E84"/>
    <w:rsid w:val="00EF18D1"/>
    <w:rsid w:val="00EF5154"/>
    <w:rsid w:val="00EF5351"/>
    <w:rsid w:val="00EF7338"/>
    <w:rsid w:val="00F041C4"/>
    <w:rsid w:val="00F04FF1"/>
    <w:rsid w:val="00F06646"/>
    <w:rsid w:val="00F0691A"/>
    <w:rsid w:val="00F06D5E"/>
    <w:rsid w:val="00F07FF9"/>
    <w:rsid w:val="00F17B48"/>
    <w:rsid w:val="00F238DF"/>
    <w:rsid w:val="00F24726"/>
    <w:rsid w:val="00F25204"/>
    <w:rsid w:val="00F25935"/>
    <w:rsid w:val="00F279B9"/>
    <w:rsid w:val="00F306C7"/>
    <w:rsid w:val="00F32F05"/>
    <w:rsid w:val="00F33DDF"/>
    <w:rsid w:val="00F370AB"/>
    <w:rsid w:val="00F374A1"/>
    <w:rsid w:val="00F40389"/>
    <w:rsid w:val="00F41B8B"/>
    <w:rsid w:val="00F436AA"/>
    <w:rsid w:val="00F43FF6"/>
    <w:rsid w:val="00F46D00"/>
    <w:rsid w:val="00F51AD2"/>
    <w:rsid w:val="00F52410"/>
    <w:rsid w:val="00F57097"/>
    <w:rsid w:val="00F61CAD"/>
    <w:rsid w:val="00F645A1"/>
    <w:rsid w:val="00F64C54"/>
    <w:rsid w:val="00F66DD2"/>
    <w:rsid w:val="00F67C9D"/>
    <w:rsid w:val="00F67E53"/>
    <w:rsid w:val="00F70820"/>
    <w:rsid w:val="00F75995"/>
    <w:rsid w:val="00F76002"/>
    <w:rsid w:val="00F83946"/>
    <w:rsid w:val="00F86DB5"/>
    <w:rsid w:val="00F86E3C"/>
    <w:rsid w:val="00F86E7B"/>
    <w:rsid w:val="00F9096B"/>
    <w:rsid w:val="00F9117A"/>
    <w:rsid w:val="00F92891"/>
    <w:rsid w:val="00F97162"/>
    <w:rsid w:val="00F975AE"/>
    <w:rsid w:val="00FA16EF"/>
    <w:rsid w:val="00FA4865"/>
    <w:rsid w:val="00FA5282"/>
    <w:rsid w:val="00FA64DD"/>
    <w:rsid w:val="00FB0A47"/>
    <w:rsid w:val="00FB3025"/>
    <w:rsid w:val="00FB41E2"/>
    <w:rsid w:val="00FB56AE"/>
    <w:rsid w:val="00FB5E5B"/>
    <w:rsid w:val="00FB7D4C"/>
    <w:rsid w:val="00FC445A"/>
    <w:rsid w:val="00FC4DF5"/>
    <w:rsid w:val="00FC5AA6"/>
    <w:rsid w:val="00FC6823"/>
    <w:rsid w:val="00FC7BCC"/>
    <w:rsid w:val="00FC7FDF"/>
    <w:rsid w:val="00FD2929"/>
    <w:rsid w:val="00FD3118"/>
    <w:rsid w:val="00FD4590"/>
    <w:rsid w:val="00FD796D"/>
    <w:rsid w:val="00FE251C"/>
    <w:rsid w:val="00FE3329"/>
    <w:rsid w:val="00FE46C5"/>
    <w:rsid w:val="00FE4A64"/>
    <w:rsid w:val="00FF267E"/>
    <w:rsid w:val="00FF5906"/>
    <w:rsid w:val="21030841"/>
    <w:rsid w:val="5F0D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7"/>
    <w:semiHidden/>
    <w:unhideWhenUsed/>
    <w:uiPriority w:val="99"/>
    <w:pPr>
      <w:jc w:val="left"/>
    </w:pPr>
  </w:style>
  <w:style w:type="paragraph" w:styleId="6">
    <w:name w:val="Body Text"/>
    <w:basedOn w:val="1"/>
    <w:link w:val="49"/>
    <w:semiHidden/>
    <w:unhideWhenUsed/>
    <w:qFormat/>
    <w:uiPriority w:val="99"/>
    <w:pPr>
      <w:spacing w:after="120"/>
    </w:pPr>
  </w:style>
  <w:style w:type="paragraph" w:styleId="7">
    <w:name w:val="Body Text Indent"/>
    <w:basedOn w:val="1"/>
    <w:link w:val="27"/>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9"/>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2"/>
    <w:qFormat/>
    <w:uiPriority w:val="0"/>
    <w:pPr>
      <w:adjustRightInd w:val="0"/>
      <w:spacing w:line="360" w:lineRule="atLeast"/>
      <w:textAlignment w:val="baseline"/>
    </w:pPr>
    <w:rPr>
      <w:sz w:val="32"/>
    </w:rPr>
  </w:style>
  <w:style w:type="paragraph" w:styleId="12">
    <w:name w:val="Body Text Indent 2"/>
    <w:basedOn w:val="1"/>
    <w:link w:val="34"/>
    <w:semiHidden/>
    <w:unhideWhenUsed/>
    <w:qFormat/>
    <w:uiPriority w:val="99"/>
    <w:pPr>
      <w:spacing w:after="120" w:line="480" w:lineRule="auto"/>
      <w:ind w:left="420" w:leftChars="200"/>
    </w:pPr>
  </w:style>
  <w:style w:type="paragraph" w:styleId="13">
    <w:name w:val="Balloon Text"/>
    <w:basedOn w:val="1"/>
    <w:link w:val="48"/>
    <w:semiHidden/>
    <w:unhideWhenUsed/>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0"/>
    <w:semiHidden/>
    <w:unhideWhenUsed/>
    <w:qFormat/>
    <w:uiPriority w:val="99"/>
    <w:pPr>
      <w:spacing w:after="120"/>
      <w:ind w:left="420" w:leftChars="200"/>
    </w:pPr>
    <w:rPr>
      <w:sz w:val="16"/>
      <w:szCs w:val="16"/>
    </w:rPr>
  </w:style>
  <w:style w:type="paragraph" w:styleId="19">
    <w:name w:val="Body Text 2"/>
    <w:basedOn w:val="1"/>
    <w:link w:val="36"/>
    <w:semiHidden/>
    <w:unhideWhenUsed/>
    <w:qFormat/>
    <w:uiPriority w:val="99"/>
    <w:pPr>
      <w:spacing w:after="120" w:line="480" w:lineRule="auto"/>
    </w:pPr>
  </w:style>
  <w:style w:type="paragraph" w:styleId="20">
    <w:name w:val="annotation subject"/>
    <w:basedOn w:val="5"/>
    <w:next w:val="5"/>
    <w:link w:val="51"/>
    <w:semiHidden/>
    <w:unhideWhenUsed/>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uiPriority w:val="0"/>
  </w:style>
  <w:style w:type="character" w:styleId="25">
    <w:name w:val="Hyperlink"/>
    <w:basedOn w:val="23"/>
    <w:unhideWhenUsed/>
    <w:uiPriority w:val="99"/>
    <w:rPr>
      <w:color w:val="0000FF" w:themeColor="hyperlink"/>
      <w:u w:val="single"/>
      <w14:textFill>
        <w14:solidFill>
          <w14:schemeClr w14:val="hlink"/>
        </w14:solidFill>
      </w14:textFill>
    </w:rPr>
  </w:style>
  <w:style w:type="character" w:styleId="26">
    <w:name w:val="annotation reference"/>
    <w:basedOn w:val="23"/>
    <w:semiHidden/>
    <w:unhideWhenUsed/>
    <w:uiPriority w:val="99"/>
    <w:rPr>
      <w:sz w:val="21"/>
      <w:szCs w:val="21"/>
    </w:rPr>
  </w:style>
  <w:style w:type="character" w:customStyle="1" w:styleId="27">
    <w:name w:val="正文文本缩进 Char"/>
    <w:basedOn w:val="23"/>
    <w:link w:val="7"/>
    <w:uiPriority w:val="0"/>
    <w:rPr>
      <w:rFonts w:ascii="宋体" w:hAnsi="宋体" w:eastAsia="宋体" w:cs="Times New Roman"/>
      <w:sz w:val="24"/>
      <w:szCs w:val="20"/>
    </w:rPr>
  </w:style>
  <w:style w:type="paragraph" w:customStyle="1" w:styleId="28">
    <w:name w:val="Default"/>
    <w:link w:val="50"/>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9">
    <w:name w:val="副标题 Char"/>
    <w:basedOn w:val="23"/>
    <w:link w:val="16"/>
    <w:qFormat/>
    <w:uiPriority w:val="11"/>
    <w:rPr>
      <w:rFonts w:ascii="Cambria" w:hAnsi="Cambria" w:eastAsia="宋体" w:cs="Times New Roman"/>
      <w:b/>
      <w:bCs/>
      <w:kern w:val="28"/>
      <w:sz w:val="32"/>
      <w:szCs w:val="32"/>
      <w:lang w:val="zh-CN" w:eastAsia="zh-CN"/>
    </w:rPr>
  </w:style>
  <w:style w:type="character" w:customStyle="1" w:styleId="30">
    <w:name w:val="页眉 Char"/>
    <w:basedOn w:val="23"/>
    <w:link w:val="15"/>
    <w:qFormat/>
    <w:uiPriority w:val="99"/>
    <w:rPr>
      <w:rFonts w:ascii="Times New Roman" w:hAnsi="Times New Roman" w:eastAsia="宋体" w:cs="Times New Roman"/>
      <w:sz w:val="18"/>
      <w:szCs w:val="18"/>
    </w:rPr>
  </w:style>
  <w:style w:type="character" w:customStyle="1" w:styleId="31">
    <w:name w:val="页脚 Char"/>
    <w:basedOn w:val="23"/>
    <w:link w:val="14"/>
    <w:qFormat/>
    <w:uiPriority w:val="99"/>
    <w:rPr>
      <w:rFonts w:ascii="Times New Roman" w:hAnsi="Times New Roman" w:eastAsia="宋体" w:cs="Times New Roman"/>
      <w:sz w:val="18"/>
      <w:szCs w:val="18"/>
    </w:rPr>
  </w:style>
  <w:style w:type="character" w:customStyle="1" w:styleId="32">
    <w:name w:val="日期 Char"/>
    <w:basedOn w:val="23"/>
    <w:link w:val="11"/>
    <w:qFormat/>
    <w:uiPriority w:val="0"/>
    <w:rPr>
      <w:rFonts w:ascii="Times New Roman" w:hAnsi="Times New Roman" w:eastAsia="宋体" w:cs="Times New Roman"/>
      <w:sz w:val="32"/>
      <w:szCs w:val="20"/>
    </w:rPr>
  </w:style>
  <w:style w:type="paragraph" w:styleId="33">
    <w:name w:val="List Paragraph"/>
    <w:basedOn w:val="1"/>
    <w:link w:val="52"/>
    <w:qFormat/>
    <w:uiPriority w:val="34"/>
    <w:pPr>
      <w:ind w:firstLine="420" w:firstLineChars="200"/>
    </w:pPr>
  </w:style>
  <w:style w:type="character" w:customStyle="1" w:styleId="34">
    <w:name w:val="正文文本缩进 2 Char"/>
    <w:basedOn w:val="23"/>
    <w:link w:val="12"/>
    <w:semiHidden/>
    <w:qFormat/>
    <w:uiPriority w:val="99"/>
    <w:rPr>
      <w:rFonts w:ascii="Times New Roman" w:hAnsi="Times New Roman" w:eastAsia="宋体" w:cs="Times New Roman"/>
      <w:szCs w:val="20"/>
    </w:rPr>
  </w:style>
  <w:style w:type="character" w:customStyle="1" w:styleId="35">
    <w:name w:val="标题 3 Char"/>
    <w:basedOn w:val="23"/>
    <w:link w:val="2"/>
    <w:qFormat/>
    <w:uiPriority w:val="0"/>
    <w:rPr>
      <w:rFonts w:ascii="Times New Roman" w:hAnsi="Times New Roman" w:eastAsia="宋体" w:cs="Times New Roman"/>
      <w:b/>
      <w:bCs/>
      <w:sz w:val="32"/>
      <w:szCs w:val="32"/>
    </w:rPr>
  </w:style>
  <w:style w:type="character" w:customStyle="1" w:styleId="36">
    <w:name w:val="正文文本 2 Char"/>
    <w:basedOn w:val="23"/>
    <w:link w:val="19"/>
    <w:semiHidden/>
    <w:qFormat/>
    <w:uiPriority w:val="99"/>
    <w:rPr>
      <w:rFonts w:ascii="Times New Roman" w:hAnsi="Times New Roman" w:eastAsia="宋体" w:cs="Times New Roman"/>
      <w:szCs w:val="20"/>
    </w:rPr>
  </w:style>
  <w:style w:type="paragraph" w:customStyle="1" w:styleId="37">
    <w:name w:val="Char"/>
    <w:basedOn w:val="1"/>
    <w:qFormat/>
    <w:uiPriority w:val="0"/>
    <w:pPr>
      <w:tabs>
        <w:tab w:val="left" w:pos="360"/>
      </w:tabs>
    </w:pPr>
    <w:rPr>
      <w:sz w:val="24"/>
      <w:szCs w:val="24"/>
    </w:rPr>
  </w:style>
  <w:style w:type="character" w:customStyle="1" w:styleId="38">
    <w:name w:val="纯文本 Char"/>
    <w:basedOn w:val="23"/>
    <w:semiHidden/>
    <w:qFormat/>
    <w:uiPriority w:val="99"/>
    <w:rPr>
      <w:rFonts w:ascii="宋体" w:hAnsi="Courier New" w:eastAsia="宋体" w:cs="Courier New"/>
      <w:szCs w:val="21"/>
    </w:rPr>
  </w:style>
  <w:style w:type="character" w:customStyle="1" w:styleId="39">
    <w:name w:val="纯文本 Char1"/>
    <w:link w:val="9"/>
    <w:qFormat/>
    <w:locked/>
    <w:uiPriority w:val="0"/>
    <w:rPr>
      <w:rFonts w:ascii="宋体" w:hAnsi="Courier New" w:eastAsia="宋体" w:cs="Times New Roman"/>
      <w:szCs w:val="20"/>
      <w:lang w:val="zh-CN" w:eastAsia="zh-CN"/>
    </w:rPr>
  </w:style>
  <w:style w:type="character" w:customStyle="1" w:styleId="40">
    <w:name w:val="正文文本缩进 3 Char"/>
    <w:basedOn w:val="23"/>
    <w:link w:val="18"/>
    <w:semiHidden/>
    <w:qFormat/>
    <w:uiPriority w:val="99"/>
    <w:rPr>
      <w:rFonts w:ascii="Times New Roman" w:hAnsi="Times New Roman" w:eastAsia="宋体" w:cs="Times New Roman"/>
      <w:sz w:val="16"/>
      <w:szCs w:val="16"/>
    </w:rPr>
  </w:style>
  <w:style w:type="paragraph" w:customStyle="1" w:styleId="4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har1"/>
    <w:basedOn w:val="1"/>
    <w:uiPriority w:val="0"/>
    <w:pPr>
      <w:tabs>
        <w:tab w:val="left" w:pos="360"/>
      </w:tabs>
    </w:pPr>
    <w:rPr>
      <w:sz w:val="24"/>
      <w:szCs w:val="24"/>
    </w:rPr>
  </w:style>
  <w:style w:type="paragraph" w:customStyle="1" w:styleId="46">
    <w:name w:val="列出段落1"/>
    <w:basedOn w:val="1"/>
    <w:semiHidden/>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7">
    <w:name w:val="批注文字 Char"/>
    <w:basedOn w:val="23"/>
    <w:link w:val="5"/>
    <w:semiHidden/>
    <w:uiPriority w:val="99"/>
    <w:rPr>
      <w:rFonts w:ascii="Times New Roman" w:hAnsi="Times New Roman" w:eastAsia="宋体" w:cs="Times New Roman"/>
      <w:szCs w:val="20"/>
    </w:rPr>
  </w:style>
  <w:style w:type="character" w:customStyle="1" w:styleId="48">
    <w:name w:val="批注框文本 Char"/>
    <w:basedOn w:val="23"/>
    <w:link w:val="13"/>
    <w:semiHidden/>
    <w:uiPriority w:val="99"/>
    <w:rPr>
      <w:rFonts w:ascii="Times New Roman" w:hAnsi="Times New Roman" w:eastAsia="宋体" w:cs="Times New Roman"/>
      <w:sz w:val="18"/>
      <w:szCs w:val="18"/>
    </w:rPr>
  </w:style>
  <w:style w:type="character" w:customStyle="1" w:styleId="49">
    <w:name w:val="正文文本 Char"/>
    <w:basedOn w:val="23"/>
    <w:link w:val="6"/>
    <w:semiHidden/>
    <w:qFormat/>
    <w:uiPriority w:val="99"/>
    <w:rPr>
      <w:rFonts w:ascii="Times New Roman" w:hAnsi="Times New Roman" w:eastAsia="宋体" w:cs="Times New Roman"/>
      <w:szCs w:val="20"/>
    </w:rPr>
  </w:style>
  <w:style w:type="character" w:customStyle="1" w:styleId="50">
    <w:name w:val="Default Char"/>
    <w:link w:val="28"/>
    <w:qFormat/>
    <w:locked/>
    <w:uiPriority w:val="0"/>
    <w:rPr>
      <w:rFonts w:ascii="......." w:hAnsi="Calibri" w:eastAsia="......." w:cs="......."/>
      <w:color w:val="000000"/>
      <w:kern w:val="0"/>
      <w:sz w:val="24"/>
      <w:szCs w:val="24"/>
    </w:rPr>
  </w:style>
  <w:style w:type="character" w:customStyle="1" w:styleId="51">
    <w:name w:val="批注主题 Char"/>
    <w:basedOn w:val="47"/>
    <w:link w:val="20"/>
    <w:semiHidden/>
    <w:uiPriority w:val="99"/>
    <w:rPr>
      <w:rFonts w:ascii="Times New Roman" w:hAnsi="Times New Roman" w:eastAsia="宋体" w:cs="Times New Roman"/>
      <w:b/>
      <w:bCs/>
      <w:szCs w:val="20"/>
    </w:rPr>
  </w:style>
  <w:style w:type="character" w:customStyle="1" w:styleId="52">
    <w:name w:val="列出段落 Char"/>
    <w:link w:val="33"/>
    <w:uiPriority w:val="34"/>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3649E-1CED-41F6-899B-C91DBA1237C7}">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64</Pages>
  <Words>29724</Words>
  <Characters>32110</Characters>
  <Lines>252</Lines>
  <Paragraphs>71</Paragraphs>
  <TotalTime>25</TotalTime>
  <ScaleCrop>false</ScaleCrop>
  <LinksUpToDate>false</LinksUpToDate>
  <CharactersWithSpaces>33891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2022-10-17T08:57:00Z</dcterms:created>
  <dc:creator>未定义</dc:creator>
  <cp:lastModifiedBy>老何</cp:lastModifiedBy>
  <dcterms:modified xsi:type="dcterms:W3CDTF">2022-11-09T09:10:17Z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776B7C83DF0A4302BA790BC1DEEF51BB</vt:lpwstr>
  </property>
</Properties>
</file>